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1FFC" w14:textId="319FE734" w:rsidR="006C2102" w:rsidRPr="00E70451" w:rsidRDefault="001C22F0">
      <w:pPr>
        <w:rPr>
          <w:rFonts w:ascii="Arial" w:hAnsi="Arial" w:cs="Arial"/>
          <w:b/>
          <w:sz w:val="24"/>
          <w:szCs w:val="24"/>
        </w:rPr>
      </w:pPr>
      <w:r w:rsidRPr="00E70451">
        <w:rPr>
          <w:rFonts w:ascii="Arial" w:hAnsi="Arial" w:cs="Arial"/>
          <w:b/>
          <w:sz w:val="24"/>
          <w:szCs w:val="24"/>
        </w:rPr>
        <w:t xml:space="preserve">Unidad Técnica </w:t>
      </w:r>
      <w:r>
        <w:rPr>
          <w:rFonts w:ascii="Arial" w:hAnsi="Arial" w:cs="Arial"/>
          <w:b/>
          <w:sz w:val="24"/>
          <w:szCs w:val="24"/>
        </w:rPr>
        <w:t>d</w:t>
      </w:r>
      <w:r w:rsidRPr="00E70451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l</w:t>
      </w:r>
      <w:r w:rsidRPr="00E70451">
        <w:rPr>
          <w:rFonts w:ascii="Arial" w:hAnsi="Arial" w:cs="Arial"/>
          <w:b/>
          <w:sz w:val="24"/>
          <w:szCs w:val="24"/>
        </w:rPr>
        <w:t>o Contencioso Electoral</w:t>
      </w:r>
    </w:p>
    <w:p w14:paraId="01B7CD0F" w14:textId="5E758B75" w:rsidR="00E2360E" w:rsidRDefault="00E2360E" w:rsidP="00E70451">
      <w:pPr>
        <w:jc w:val="both"/>
        <w:rPr>
          <w:rFonts w:ascii="Arial" w:hAnsi="Arial" w:cs="Arial"/>
          <w:sz w:val="24"/>
          <w:szCs w:val="24"/>
        </w:rPr>
      </w:pPr>
    </w:p>
    <w:p w14:paraId="5E73F1FA" w14:textId="77777777" w:rsidR="001C22F0" w:rsidRPr="00E70451" w:rsidRDefault="001C22F0" w:rsidP="00E70451">
      <w:pPr>
        <w:jc w:val="both"/>
        <w:rPr>
          <w:rFonts w:ascii="Arial" w:hAnsi="Arial" w:cs="Arial"/>
          <w:sz w:val="24"/>
          <w:szCs w:val="24"/>
        </w:rPr>
      </w:pPr>
    </w:p>
    <w:p w14:paraId="03426902" w14:textId="457CD5FD" w:rsidR="00E2360E" w:rsidRPr="00E70451" w:rsidRDefault="001C22F0" w:rsidP="00E70451">
      <w:pPr>
        <w:jc w:val="both"/>
        <w:rPr>
          <w:rFonts w:ascii="Arial" w:hAnsi="Arial" w:cs="Arial"/>
          <w:b/>
          <w:sz w:val="24"/>
          <w:szCs w:val="24"/>
        </w:rPr>
      </w:pPr>
      <w:r w:rsidRPr="00E70451">
        <w:rPr>
          <w:rFonts w:ascii="Arial" w:hAnsi="Arial" w:cs="Arial"/>
          <w:b/>
          <w:sz w:val="24"/>
          <w:szCs w:val="24"/>
        </w:rPr>
        <w:t>Ley Electoral Del Estado De Baja California</w:t>
      </w:r>
    </w:p>
    <w:p w14:paraId="25C319D1" w14:textId="77777777" w:rsidR="00E2360E" w:rsidRPr="00E70451" w:rsidRDefault="00E2360E" w:rsidP="00E70451">
      <w:pPr>
        <w:jc w:val="both"/>
        <w:rPr>
          <w:rFonts w:ascii="Arial" w:hAnsi="Arial" w:cs="Arial"/>
          <w:sz w:val="24"/>
          <w:szCs w:val="24"/>
        </w:rPr>
      </w:pPr>
    </w:p>
    <w:p w14:paraId="48C23838" w14:textId="77777777" w:rsidR="00DC5875" w:rsidRPr="00E70451" w:rsidRDefault="00DC5875" w:rsidP="00E70451">
      <w:pPr>
        <w:pStyle w:val="Puntos"/>
        <w:autoSpaceDE w:val="0"/>
        <w:autoSpaceDN w:val="0"/>
        <w:rPr>
          <w:rFonts w:cs="Arial"/>
          <w:color w:val="000000"/>
          <w:sz w:val="24"/>
          <w:szCs w:val="24"/>
        </w:rPr>
      </w:pPr>
      <w:r w:rsidRPr="00E70451">
        <w:rPr>
          <w:rFonts w:cs="Arial"/>
          <w:b/>
          <w:noProof/>
          <w:color w:val="000000"/>
          <w:sz w:val="24"/>
          <w:szCs w:val="24"/>
          <w:lang w:val="es-MX"/>
        </w:rPr>
        <w:t xml:space="preserve">Artículo 57.- </w:t>
      </w:r>
      <w:r w:rsidRPr="00E70451">
        <w:rPr>
          <w:rFonts w:cs="Arial"/>
          <w:color w:val="000000"/>
          <w:sz w:val="24"/>
          <w:szCs w:val="24"/>
        </w:rPr>
        <w:t>La Secretaría Ejecutiva tendrá adscrita las siguientes áreas:</w:t>
      </w:r>
    </w:p>
    <w:p w14:paraId="5DF3919C" w14:textId="77777777" w:rsidR="00DC5875" w:rsidRPr="00E70451" w:rsidRDefault="00DC5875" w:rsidP="00E70451">
      <w:pPr>
        <w:pStyle w:val="Puntos"/>
        <w:numPr>
          <w:ilvl w:val="0"/>
          <w:numId w:val="6"/>
        </w:numPr>
        <w:tabs>
          <w:tab w:val="clear" w:pos="810"/>
        </w:tabs>
        <w:autoSpaceDE w:val="0"/>
        <w:autoSpaceDN w:val="0"/>
        <w:ind w:left="0" w:firstLine="0"/>
        <w:rPr>
          <w:rFonts w:cs="Arial"/>
          <w:color w:val="000000"/>
          <w:sz w:val="24"/>
          <w:szCs w:val="24"/>
        </w:rPr>
      </w:pPr>
      <w:r w:rsidRPr="00E70451">
        <w:rPr>
          <w:rFonts w:cs="Arial"/>
          <w:color w:val="000000"/>
          <w:sz w:val="24"/>
          <w:szCs w:val="24"/>
        </w:rPr>
        <w:t>La Unidad Técnica de lo Contencioso Electoral que será competente para la tramitación de los procedimientos sancionadores y demás que determine esta Ley y las disposiciones aplicables;</w:t>
      </w:r>
    </w:p>
    <w:p w14:paraId="642602A2" w14:textId="77777777" w:rsidR="002D66EC" w:rsidRPr="00DC5875" w:rsidRDefault="002D66EC" w:rsidP="00DC5875">
      <w:pPr>
        <w:jc w:val="both"/>
        <w:rPr>
          <w:sz w:val="24"/>
          <w:szCs w:val="24"/>
          <w:lang w:val="es-ES_tradnl"/>
        </w:rPr>
      </w:pPr>
    </w:p>
    <w:sectPr w:rsidR="002D66EC" w:rsidRPr="00DC5875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51"/>
    <w:multiLevelType w:val="hybridMultilevel"/>
    <w:tmpl w:val="B2FAA7B6"/>
    <w:lvl w:ilvl="0" w:tplc="93CA3FF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3F4F"/>
    <w:multiLevelType w:val="hybridMultilevel"/>
    <w:tmpl w:val="EAEC17A6"/>
    <w:lvl w:ilvl="0" w:tplc="888AC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029E0"/>
    <w:multiLevelType w:val="hybridMultilevel"/>
    <w:tmpl w:val="4A96ADE0"/>
    <w:lvl w:ilvl="0" w:tplc="811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96C"/>
    <w:multiLevelType w:val="hybridMultilevel"/>
    <w:tmpl w:val="396EB69C"/>
    <w:lvl w:ilvl="0" w:tplc="84EE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46D4"/>
    <w:multiLevelType w:val="hybridMultilevel"/>
    <w:tmpl w:val="B5AE6296"/>
    <w:lvl w:ilvl="0" w:tplc="4AF2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7919"/>
    <w:multiLevelType w:val="hybridMultilevel"/>
    <w:tmpl w:val="91482508"/>
    <w:lvl w:ilvl="0" w:tplc="5326736C">
      <w:start w:val="1"/>
      <w:numFmt w:val="upperRoman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9024187">
    <w:abstractNumId w:val="5"/>
  </w:num>
  <w:num w:numId="2" w16cid:durableId="680014283">
    <w:abstractNumId w:val="3"/>
  </w:num>
  <w:num w:numId="3" w16cid:durableId="2104838961">
    <w:abstractNumId w:val="2"/>
  </w:num>
  <w:num w:numId="4" w16cid:durableId="525946778">
    <w:abstractNumId w:val="4"/>
  </w:num>
  <w:num w:numId="5" w16cid:durableId="698554318">
    <w:abstractNumId w:val="0"/>
  </w:num>
  <w:num w:numId="6" w16cid:durableId="204132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0E"/>
    <w:rsid w:val="001B0AE3"/>
    <w:rsid w:val="001C149A"/>
    <w:rsid w:val="001C22F0"/>
    <w:rsid w:val="002D66EC"/>
    <w:rsid w:val="00424A8D"/>
    <w:rsid w:val="00567ADE"/>
    <w:rsid w:val="00655A83"/>
    <w:rsid w:val="006C2102"/>
    <w:rsid w:val="006C6E5A"/>
    <w:rsid w:val="00907AC1"/>
    <w:rsid w:val="00D87454"/>
    <w:rsid w:val="00DC5875"/>
    <w:rsid w:val="00E2360E"/>
    <w:rsid w:val="00E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C627"/>
  <w15:docId w15:val="{161FD2B6-CA6A-472B-A112-9765D650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2360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E2360E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Articulo">
    <w:name w:val="Articulo"/>
    <w:basedOn w:val="Normal"/>
    <w:rsid w:val="00E2360E"/>
    <w:pPr>
      <w:spacing w:before="120" w:after="120" w:line="240" w:lineRule="auto"/>
      <w:ind w:firstLine="720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customStyle="1" w:styleId="Puntos">
    <w:name w:val="Puntos"/>
    <w:basedOn w:val="Normal"/>
    <w:rsid w:val="00E2360E"/>
    <w:pPr>
      <w:tabs>
        <w:tab w:val="left" w:pos="810"/>
      </w:tabs>
      <w:spacing w:before="120" w:after="120" w:line="240" w:lineRule="auto"/>
      <w:ind w:left="806" w:hanging="806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D66EC"/>
    <w:pPr>
      <w:spacing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cp:lastPrinted>2017-07-18T19:45:00Z</cp:lastPrinted>
  <dcterms:created xsi:type="dcterms:W3CDTF">2022-07-22T07:02:00Z</dcterms:created>
  <dcterms:modified xsi:type="dcterms:W3CDTF">2022-07-22T07:02:00Z</dcterms:modified>
</cp:coreProperties>
</file>