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F13A" w14:textId="144EAA30" w:rsidR="00F51D3C" w:rsidRDefault="00F51D3C" w:rsidP="00F51D3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Comité de Transparencia</w:t>
      </w:r>
    </w:p>
    <w:p w14:paraId="23AA1D95" w14:textId="77777777" w:rsidR="00F51D3C" w:rsidRDefault="00F51D3C" w:rsidP="0016650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E8A9E72" w14:textId="6185AD37" w:rsidR="00303EAE" w:rsidRPr="00166509" w:rsidRDefault="00F51D3C" w:rsidP="0016650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Reglamento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 Transparencia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y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Acceso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Información Pública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el Instituto Estatal Electoral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</w:t>
      </w: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 Baja California</w:t>
      </w:r>
    </w:p>
    <w:p w14:paraId="06ED5CAD" w14:textId="77777777" w:rsidR="0082779F" w:rsidRPr="00166509" w:rsidRDefault="0082779F" w:rsidP="001665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9037B" w14:textId="2282F1C4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 12</w:t>
      </w:r>
      <w:r w:rsidRPr="00166509">
        <w:rPr>
          <w:rFonts w:ascii="Arial" w:eastAsia="Times New Roman" w:hAnsi="Arial" w:cs="Arial"/>
          <w:sz w:val="24"/>
          <w:szCs w:val="24"/>
          <w:lang w:eastAsia="es-MX"/>
        </w:rPr>
        <w:t>. El Comité de Transparencia tendrá las siguientes atribuciones:</w:t>
      </w:r>
    </w:p>
    <w:p w14:paraId="1481BB41" w14:textId="77777777" w:rsidR="00DE263D" w:rsidRPr="00166509" w:rsidRDefault="00DE263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3D76D17" w14:textId="13BA2BF9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I. Instituir, coordinar y supervisar, en términos de las disposiciones aplicables, las acciones y los procedimientos para asegurar la mayor eficacia en la gestión de las solicitudes en materia de acceso a la información.</w:t>
      </w:r>
    </w:p>
    <w:p w14:paraId="68359EF6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A80B1F1" w14:textId="6AE94190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II. Confirmar, modificar o revocar las determinaciones que en materia de ampliación del plazo de respuesta, clasificación de la información y declaración de inexistencia o de incompetencia realicen los titulares de las áreas administrativas del Instituto Electoral. </w:t>
      </w:r>
    </w:p>
    <w:p w14:paraId="11851259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637594C" w14:textId="391DA80A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III. Ordenar, en su caso, a las áreas competentes que generen la información que derivado de sus facultades, competencias y funciones deban tener en posesión o que previa acreditación de la imposibilidad de su generación, exponga, de forma fundada y motivada, las razones por las cuales, en el caso particular, no ejercieron dichas facultades, competencias o funciones. </w:t>
      </w:r>
    </w:p>
    <w:p w14:paraId="41C45AF4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4697E12" w14:textId="24E21BE2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IV. Establecer políticas para facilitar la obtención de información y el ejercicio del derecho de acceso a la información. </w:t>
      </w:r>
    </w:p>
    <w:p w14:paraId="11546D65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E163AA0" w14:textId="6EF56952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V. Promover la capacitación y actualización de los servidores públicos o integrantes adscritos a las Unidades de Transparencia.</w:t>
      </w:r>
    </w:p>
    <w:p w14:paraId="57D66061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5D3EDE9" w14:textId="563C512A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VI. Establecer programas de capacitación en materia de transparencia, acceso a la información, accesibilidad y protección de datos personales, para todos los servidores públicos o integrantes del sujeto obligado. </w:t>
      </w:r>
    </w:p>
    <w:p w14:paraId="63028F9F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E5AB8B1" w14:textId="77777777" w:rsidR="0082779F" w:rsidRPr="00166509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VII. Recabar y enviar al Órgano Garante, de conformidad con los </w:t>
      </w:r>
    </w:p>
    <w:p w14:paraId="796C4F37" w14:textId="744CBF05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“Lineamientos para la Presentación del Informe Anual de Acceso a la Información que deben remitir al Órgano Garante los sujetos Obligados de la Ley de Transparencia y Acceso a la Información Pública para el Estado de Baja California”, los datos necesarios para la elaboración del informe anual. </w:t>
      </w:r>
    </w:p>
    <w:p w14:paraId="3F49111C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B27E6FE" w14:textId="71224765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VIII. Solicitar y autorizar la ampliación del plazo de reserva de la información a que se refiere el artículo 108 de la Ley de Transparencia. </w:t>
      </w:r>
    </w:p>
    <w:p w14:paraId="4B19E0EE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4D57B69" w14:textId="3AD6F263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IX. Decidir sobre la dispensa del pago al que hace referencia el artículo 5 del presente reglamento.</w:t>
      </w:r>
    </w:p>
    <w:p w14:paraId="631D9754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CEC3C85" w14:textId="77777777" w:rsidR="0082779F" w:rsidRPr="00166509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X. Validar los informes trimestrales y anual de la Unidad de Transparencia,</w:t>
      </w:r>
    </w:p>
    <w:p w14:paraId="2DDA77D5" w14:textId="014369C8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lastRenderedPageBreak/>
        <w:t>XI. Revisar el formato y contenido del Portal de Obligaciones, para proponer a la Unidad de Transparencia su actualización o modificación, en su caso.</w:t>
      </w:r>
    </w:p>
    <w:p w14:paraId="123DBF3A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1340517" w14:textId="65DDD5EE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XII. Evaluar el seguimiento que se dé al trámite de las solicitudes de acceso a la información pública.</w:t>
      </w:r>
    </w:p>
    <w:p w14:paraId="0A650A35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B40D9C" w14:textId="61453CEA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XIII. Hacer del conocimiento al órgano de control interno del Instituto Electoral a que se refiere el artículo 401 de la Ley Electoral, sobre las omisiones o la probable responsabilidad de sus servidores públicos en materia de transparencia.</w:t>
      </w:r>
    </w:p>
    <w:p w14:paraId="3BDDAAB1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D7AF3BD" w14:textId="41EA1507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XIV. Presentar un informe semestral de actividades al Consejo General.</w:t>
      </w:r>
    </w:p>
    <w:p w14:paraId="4C358762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0E559E0" w14:textId="2BFB6D33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 xml:space="preserve">XV. Conocer para efectos de su publicación y difusión los programas de capacitación en materia de transparencia, acceso a la información, accesibilidad y protección de datos personales para todos los servidores públicos del Instituto, así como las políticas de transparencia, aprobados por el grupo de trabajo conformado por Consejeros creado para tal </w:t>
      </w:r>
      <w:r w:rsidR="007D0CBD">
        <w:rPr>
          <w:rFonts w:ascii="Arial" w:eastAsia="Times New Roman" w:hAnsi="Arial" w:cs="Arial"/>
          <w:sz w:val="24"/>
          <w:szCs w:val="24"/>
          <w:lang w:eastAsia="es-MX"/>
        </w:rPr>
        <w:t>propósito.</w:t>
      </w:r>
    </w:p>
    <w:p w14:paraId="5E49EF1C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9B5B367" w14:textId="5566E2AE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XVI. Aprobar el calendario de actualización de las obligaciones de transparencia.</w:t>
      </w:r>
    </w:p>
    <w:p w14:paraId="6713216C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B045C4" w14:textId="63F621DF" w:rsidR="0082779F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XVII. Emitir opiniones respecto de las verificaciones de las obligaciones de transparencia que realiza el Instituto de Transparencia.</w:t>
      </w:r>
    </w:p>
    <w:p w14:paraId="747E4897" w14:textId="77777777" w:rsidR="007D0CBD" w:rsidRPr="00166509" w:rsidRDefault="007D0CBD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7157C1" w14:textId="77777777" w:rsidR="0082779F" w:rsidRPr="00166509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66509">
        <w:rPr>
          <w:rFonts w:ascii="Arial" w:eastAsia="Times New Roman" w:hAnsi="Arial" w:cs="Arial"/>
          <w:sz w:val="24"/>
          <w:szCs w:val="24"/>
          <w:lang w:eastAsia="es-MX"/>
        </w:rPr>
        <w:t>XVIII. Las demás que se desprendan de la normatividad aplicable.</w:t>
      </w:r>
    </w:p>
    <w:p w14:paraId="12406201" w14:textId="77777777" w:rsidR="0082779F" w:rsidRPr="00166509" w:rsidRDefault="0082779F" w:rsidP="0016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FC8080" w14:textId="77777777" w:rsidR="0082779F" w:rsidRPr="00166509" w:rsidRDefault="0082779F" w:rsidP="0082779F">
      <w:pPr>
        <w:jc w:val="both"/>
        <w:rPr>
          <w:rFonts w:ascii="Arial" w:hAnsi="Arial" w:cs="Arial"/>
          <w:sz w:val="24"/>
          <w:szCs w:val="24"/>
        </w:rPr>
      </w:pPr>
    </w:p>
    <w:sectPr w:rsidR="0082779F" w:rsidRPr="0016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9F"/>
    <w:rsid w:val="00166509"/>
    <w:rsid w:val="00303EAE"/>
    <w:rsid w:val="007D0CBD"/>
    <w:rsid w:val="0082779F"/>
    <w:rsid w:val="00DE263D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2335"/>
  <w15:chartTrackingRefBased/>
  <w15:docId w15:val="{D42AD12E-E61C-48E3-96D3-A92FA65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2779F"/>
  </w:style>
  <w:style w:type="paragraph" w:styleId="ListParagraph">
    <w:name w:val="List Paragraph"/>
    <w:basedOn w:val="Normal"/>
    <w:uiPriority w:val="34"/>
    <w:qFormat/>
    <w:rsid w:val="008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4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Ana I. León</cp:lastModifiedBy>
  <cp:revision>2</cp:revision>
  <dcterms:created xsi:type="dcterms:W3CDTF">2022-07-22T05:18:00Z</dcterms:created>
  <dcterms:modified xsi:type="dcterms:W3CDTF">2022-07-22T05:18:00Z</dcterms:modified>
</cp:coreProperties>
</file>