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774" w:rsidRDefault="002F0774" w:rsidP="00BF63DB">
      <w:pPr>
        <w:spacing w:after="0"/>
        <w:rPr>
          <w:rFonts w:ascii="Century Gothic" w:hAnsi="Century Gothic"/>
          <w:b/>
          <w:sz w:val="28"/>
          <w:lang w:val="es-ES"/>
        </w:rPr>
      </w:pPr>
      <w:r>
        <w:rPr>
          <w:rFonts w:ascii="Century Gothic" w:hAnsi="Century Gothic"/>
          <w:b/>
          <w:noProof/>
          <w:sz w:val="28"/>
          <w:lang w:eastAsia="es-MX"/>
        </w:rPr>
        <w:drawing>
          <wp:anchor distT="0" distB="0" distL="114300" distR="114300" simplePos="0" relativeHeight="251658240" behindDoc="1" locked="0" layoutInCell="1" allowOverlap="1">
            <wp:simplePos x="0" y="0"/>
            <wp:positionH relativeFrom="column">
              <wp:posOffset>15240</wp:posOffset>
            </wp:positionH>
            <wp:positionV relativeFrom="paragraph">
              <wp:posOffset>-635</wp:posOffset>
            </wp:positionV>
            <wp:extent cx="1905000" cy="847725"/>
            <wp:effectExtent l="19050" t="0" r="0" b="0"/>
            <wp:wrapNone/>
            <wp:docPr id="2" name="0 Imagen" descr="IEE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BC.jpg"/>
                    <pic:cNvPicPr/>
                  </pic:nvPicPr>
                  <pic:blipFill>
                    <a:blip r:embed="rId7"/>
                    <a:stretch>
                      <a:fillRect/>
                    </a:stretch>
                  </pic:blipFill>
                  <pic:spPr>
                    <a:xfrm>
                      <a:off x="0" y="0"/>
                      <a:ext cx="1905000" cy="847725"/>
                    </a:xfrm>
                    <a:prstGeom prst="rect">
                      <a:avLst/>
                    </a:prstGeom>
                  </pic:spPr>
                </pic:pic>
              </a:graphicData>
            </a:graphic>
          </wp:anchor>
        </w:drawing>
      </w:r>
    </w:p>
    <w:p w:rsidR="002F0774" w:rsidRDefault="002F0774" w:rsidP="00BF63DB">
      <w:pPr>
        <w:spacing w:after="0"/>
        <w:rPr>
          <w:rFonts w:ascii="Century Gothic" w:hAnsi="Century Gothic"/>
          <w:b/>
          <w:sz w:val="28"/>
          <w:lang w:val="es-ES"/>
        </w:rPr>
      </w:pPr>
    </w:p>
    <w:p w:rsidR="002F0774" w:rsidRDefault="002F0774" w:rsidP="00BF63DB">
      <w:pPr>
        <w:spacing w:after="0"/>
        <w:rPr>
          <w:rFonts w:ascii="Century Gothic" w:hAnsi="Century Gothic"/>
          <w:b/>
          <w:sz w:val="28"/>
          <w:lang w:val="es-ES"/>
        </w:rPr>
      </w:pPr>
    </w:p>
    <w:p w:rsidR="002F0774" w:rsidRDefault="002F0774" w:rsidP="00BF63DB">
      <w:pPr>
        <w:spacing w:after="0"/>
        <w:rPr>
          <w:rFonts w:ascii="Century Gothic" w:hAnsi="Century Gothic"/>
          <w:b/>
          <w:sz w:val="28"/>
          <w:lang w:val="es-ES"/>
        </w:rPr>
      </w:pPr>
    </w:p>
    <w:p w:rsidR="00BF63DB" w:rsidRDefault="00BF63DB" w:rsidP="00BF63DB">
      <w:pPr>
        <w:spacing w:after="0"/>
        <w:rPr>
          <w:rFonts w:ascii="Century Gothic" w:hAnsi="Century Gothic"/>
          <w:b/>
          <w:sz w:val="28"/>
          <w:lang w:val="es-ES"/>
        </w:rPr>
      </w:pPr>
      <w:r w:rsidRPr="00BF63DB">
        <w:rPr>
          <w:rFonts w:ascii="Century Gothic" w:hAnsi="Century Gothic"/>
          <w:b/>
          <w:sz w:val="28"/>
          <w:lang w:val="es-ES"/>
        </w:rPr>
        <w:t>INSTITUTO ESTATAL ELECTORAL</w:t>
      </w:r>
    </w:p>
    <w:p w:rsidR="00BF63DB" w:rsidRPr="00BF63DB" w:rsidRDefault="00BF63DB" w:rsidP="00BF63DB">
      <w:pPr>
        <w:spacing w:after="0"/>
        <w:rPr>
          <w:rFonts w:ascii="Century Gothic" w:hAnsi="Century Gothic"/>
          <w:b/>
          <w:sz w:val="28"/>
          <w:lang w:val="es-ES"/>
        </w:rPr>
      </w:pPr>
      <w:r w:rsidRPr="00BF63DB">
        <w:rPr>
          <w:rFonts w:ascii="Century Gothic" w:hAnsi="Century Gothic"/>
          <w:b/>
          <w:sz w:val="28"/>
          <w:lang w:val="es-ES"/>
        </w:rPr>
        <w:t>DE B</w:t>
      </w:r>
      <w:r>
        <w:rPr>
          <w:rFonts w:ascii="Century Gothic" w:hAnsi="Century Gothic"/>
          <w:b/>
          <w:sz w:val="28"/>
          <w:lang w:val="es-ES"/>
        </w:rPr>
        <w:t>AJA CALIFORNIA</w:t>
      </w:r>
    </w:p>
    <w:p w:rsidR="00BF63DB" w:rsidRPr="00BF63DB" w:rsidRDefault="00BF63DB" w:rsidP="00BF63DB">
      <w:pPr>
        <w:spacing w:after="0"/>
        <w:rPr>
          <w:rFonts w:ascii="Century Gothic" w:hAnsi="Century Gothic"/>
          <w:sz w:val="28"/>
          <w:lang w:val="es-ES"/>
        </w:rPr>
      </w:pPr>
      <w:r w:rsidRPr="00BF63DB">
        <w:rPr>
          <w:rFonts w:ascii="Century Gothic" w:hAnsi="Century Gothic"/>
          <w:sz w:val="28"/>
          <w:lang w:val="es-ES"/>
        </w:rPr>
        <w:t>PRESENTE.-</w:t>
      </w:r>
    </w:p>
    <w:p w:rsidR="00BF63DB" w:rsidRPr="00BF63DB" w:rsidRDefault="00BF63DB" w:rsidP="00BF63DB">
      <w:pPr>
        <w:spacing w:after="0"/>
        <w:rPr>
          <w:rFonts w:ascii="Century Gothic" w:hAnsi="Century Gothic"/>
          <w:sz w:val="28"/>
          <w:lang w:val="es-ES"/>
        </w:rPr>
      </w:pPr>
    </w:p>
    <w:p w:rsidR="00BF63DB" w:rsidRPr="00BF63DB" w:rsidRDefault="00BF63DB" w:rsidP="00BF63DB">
      <w:pPr>
        <w:spacing w:after="0"/>
        <w:jc w:val="right"/>
        <w:rPr>
          <w:rFonts w:ascii="Century Gothic" w:hAnsi="Century Gothic"/>
          <w:b/>
          <w:sz w:val="28"/>
          <w:lang w:val="es-ES"/>
        </w:rPr>
      </w:pPr>
      <w:r w:rsidRPr="00BF63DB">
        <w:rPr>
          <w:rFonts w:ascii="Century Gothic" w:hAnsi="Century Gothic"/>
          <w:b/>
          <w:sz w:val="28"/>
          <w:lang w:val="es-ES"/>
        </w:rPr>
        <w:t>AT’N.: C.P. DEIDA GPE. PADILLA RODRÍGUEZ</w:t>
      </w:r>
    </w:p>
    <w:p w:rsidR="00BF63DB" w:rsidRPr="00BF63DB" w:rsidRDefault="00BF63DB" w:rsidP="00BF63DB">
      <w:pPr>
        <w:spacing w:after="0"/>
        <w:jc w:val="right"/>
        <w:rPr>
          <w:rFonts w:ascii="Century Gothic" w:hAnsi="Century Gothic"/>
          <w:sz w:val="28"/>
          <w:lang w:val="es-ES"/>
        </w:rPr>
      </w:pPr>
      <w:r w:rsidRPr="00BF63DB">
        <w:rPr>
          <w:rFonts w:ascii="Century Gothic" w:hAnsi="Century Gothic"/>
          <w:sz w:val="28"/>
          <w:lang w:val="es-ES"/>
        </w:rPr>
        <w:t>Secretaria Ejecutiva del IEEBC</w:t>
      </w:r>
    </w:p>
    <w:p w:rsidR="000C1075" w:rsidRDefault="000C1075" w:rsidP="000C1075">
      <w:pPr>
        <w:spacing w:after="0"/>
        <w:jc w:val="both"/>
        <w:rPr>
          <w:rFonts w:ascii="Century Gothic" w:hAnsi="Century Gothic"/>
          <w:sz w:val="28"/>
          <w:lang w:val="es-ES"/>
        </w:rPr>
      </w:pPr>
    </w:p>
    <w:p w:rsidR="000C1075" w:rsidRDefault="000C1075" w:rsidP="000C1075">
      <w:pPr>
        <w:spacing w:after="0" w:line="360" w:lineRule="auto"/>
        <w:jc w:val="both"/>
        <w:rPr>
          <w:rFonts w:ascii="Century Gothic" w:hAnsi="Century Gothic"/>
          <w:sz w:val="28"/>
          <w:lang w:val="es-ES"/>
        </w:rPr>
      </w:pPr>
      <w:r>
        <w:rPr>
          <w:rFonts w:ascii="Century Gothic" w:hAnsi="Century Gothic"/>
          <w:sz w:val="28"/>
          <w:lang w:val="es-ES"/>
        </w:rPr>
        <w:t xml:space="preserve">Por este conducto y con fundamento en los artículos 5, Apartado B, de la Constitución Política del Estado Libre y Soberano de Baja California; </w:t>
      </w:r>
      <w:r w:rsidRPr="000C1075">
        <w:rPr>
          <w:rFonts w:ascii="Century Gothic" w:hAnsi="Century Gothic"/>
          <w:sz w:val="28"/>
          <w:lang w:val="es-ES"/>
        </w:rPr>
        <w:t xml:space="preserve">33, 35, 36, fracción III, inciso </w:t>
      </w:r>
      <w:r>
        <w:rPr>
          <w:rFonts w:ascii="Century Gothic" w:hAnsi="Century Gothic"/>
          <w:sz w:val="28"/>
          <w:lang w:val="es-ES"/>
        </w:rPr>
        <w:t>b</w:t>
      </w:r>
      <w:r w:rsidRPr="000C1075">
        <w:rPr>
          <w:rFonts w:ascii="Century Gothic" w:hAnsi="Century Gothic"/>
          <w:sz w:val="28"/>
          <w:lang w:val="es-ES"/>
        </w:rPr>
        <w:t>),</w:t>
      </w:r>
      <w:r>
        <w:rPr>
          <w:rFonts w:ascii="Century Gothic" w:hAnsi="Century Gothic"/>
          <w:sz w:val="28"/>
          <w:lang w:val="es-ES"/>
        </w:rPr>
        <w:t xml:space="preserve"> 57, fracción I </w:t>
      </w:r>
      <w:r w:rsidRPr="000C1075">
        <w:rPr>
          <w:rFonts w:ascii="Century Gothic" w:hAnsi="Century Gothic"/>
          <w:sz w:val="28"/>
          <w:lang w:val="es-ES"/>
        </w:rPr>
        <w:t xml:space="preserve">y 359, </w:t>
      </w:r>
      <w:r>
        <w:rPr>
          <w:rFonts w:ascii="Century Gothic" w:hAnsi="Century Gothic"/>
          <w:sz w:val="28"/>
          <w:lang w:val="es-ES"/>
        </w:rPr>
        <w:t xml:space="preserve">fracción </w:t>
      </w:r>
      <w:r w:rsidRPr="000C1075">
        <w:rPr>
          <w:rFonts w:ascii="Century Gothic" w:hAnsi="Century Gothic"/>
          <w:sz w:val="28"/>
          <w:lang w:val="es-ES"/>
        </w:rPr>
        <w:t>III</w:t>
      </w:r>
      <w:r>
        <w:rPr>
          <w:rFonts w:ascii="Century Gothic" w:hAnsi="Century Gothic"/>
          <w:sz w:val="28"/>
          <w:lang w:val="es-ES"/>
        </w:rPr>
        <w:t>,</w:t>
      </w:r>
      <w:r w:rsidRPr="000C1075">
        <w:rPr>
          <w:rFonts w:ascii="Century Gothic" w:hAnsi="Century Gothic"/>
          <w:sz w:val="28"/>
          <w:lang w:val="es-ES"/>
        </w:rPr>
        <w:t xml:space="preserve"> de la Ley Electoral del Estado de Baja California;</w:t>
      </w:r>
      <w:r>
        <w:rPr>
          <w:rFonts w:ascii="Century Gothic" w:hAnsi="Century Gothic"/>
          <w:sz w:val="28"/>
          <w:lang w:val="es-ES"/>
        </w:rPr>
        <w:t xml:space="preserve"> 49, numeral 2, inciso a), 54 y 55, numeral 1, inciso y), del Reglamento Interior del Instituto Estatal Electoral </w:t>
      </w:r>
      <w:r w:rsidR="00BF2B5A">
        <w:rPr>
          <w:rFonts w:ascii="Century Gothic" w:hAnsi="Century Gothic"/>
          <w:sz w:val="28"/>
          <w:lang w:val="es-ES"/>
        </w:rPr>
        <w:t xml:space="preserve">de Baja California, me permito rendir el siguiente </w:t>
      </w:r>
      <w:r w:rsidR="00BF2B5A" w:rsidRPr="005E4726">
        <w:rPr>
          <w:rFonts w:ascii="Century Gothic" w:hAnsi="Century Gothic"/>
          <w:b/>
          <w:sz w:val="28"/>
          <w:lang w:val="es-ES"/>
        </w:rPr>
        <w:t>INFORME DE ACTIVIDADES</w:t>
      </w:r>
      <w:r w:rsidR="00BF2B5A">
        <w:rPr>
          <w:rFonts w:ascii="Century Gothic" w:hAnsi="Century Gothic"/>
          <w:sz w:val="28"/>
          <w:lang w:val="es-ES"/>
        </w:rPr>
        <w:t xml:space="preserve"> por el período comprendido del 03 de noviembre al 31 de diciembre de 2015.</w:t>
      </w:r>
    </w:p>
    <w:p w:rsidR="005E4726" w:rsidRDefault="005E4726" w:rsidP="005E4726">
      <w:pPr>
        <w:spacing w:after="0" w:line="360" w:lineRule="auto"/>
        <w:rPr>
          <w:rFonts w:ascii="Century Gothic" w:hAnsi="Century Gothic"/>
          <w:b/>
          <w:sz w:val="28"/>
          <w:lang w:val="es-ES"/>
        </w:rPr>
      </w:pPr>
    </w:p>
    <w:p w:rsidR="00BF2B5A" w:rsidRPr="005E4726" w:rsidRDefault="005E4726" w:rsidP="005E4726">
      <w:pPr>
        <w:pStyle w:val="Prrafodelista"/>
        <w:numPr>
          <w:ilvl w:val="0"/>
          <w:numId w:val="1"/>
        </w:numPr>
        <w:tabs>
          <w:tab w:val="left" w:pos="567"/>
        </w:tabs>
        <w:spacing w:after="0" w:line="360" w:lineRule="auto"/>
        <w:ind w:left="0" w:firstLine="0"/>
        <w:rPr>
          <w:rFonts w:ascii="Century Gothic" w:hAnsi="Century Gothic"/>
          <w:b/>
          <w:sz w:val="28"/>
          <w:lang w:val="es-ES"/>
        </w:rPr>
      </w:pPr>
      <w:r w:rsidRPr="005E4726">
        <w:rPr>
          <w:rFonts w:ascii="Century Gothic" w:hAnsi="Century Gothic"/>
          <w:b/>
          <w:sz w:val="28"/>
          <w:lang w:val="es-ES"/>
        </w:rPr>
        <w:t>INTEGRACIÓN DE LA UNIDAD TÉCNICA DE LO CONTENCIOSO</w:t>
      </w:r>
      <w:r w:rsidR="00790765">
        <w:rPr>
          <w:rFonts w:ascii="Century Gothic" w:hAnsi="Century Gothic"/>
          <w:b/>
          <w:sz w:val="28"/>
          <w:lang w:val="es-ES"/>
        </w:rPr>
        <w:t>.</w:t>
      </w:r>
    </w:p>
    <w:p w:rsidR="00790765" w:rsidRDefault="00BF2B5A" w:rsidP="005E4726">
      <w:pPr>
        <w:pStyle w:val="Prrafodelista"/>
        <w:numPr>
          <w:ilvl w:val="1"/>
          <w:numId w:val="1"/>
        </w:numPr>
        <w:tabs>
          <w:tab w:val="left" w:pos="1134"/>
        </w:tabs>
        <w:spacing w:after="0" w:line="360" w:lineRule="auto"/>
        <w:ind w:left="567" w:firstLine="0"/>
        <w:jc w:val="both"/>
        <w:rPr>
          <w:rFonts w:ascii="Century Gothic" w:hAnsi="Century Gothic"/>
          <w:sz w:val="28"/>
          <w:lang w:val="es-ES"/>
        </w:rPr>
      </w:pPr>
      <w:r>
        <w:rPr>
          <w:rFonts w:ascii="Century Gothic" w:hAnsi="Century Gothic"/>
          <w:sz w:val="28"/>
          <w:lang w:val="es-ES"/>
        </w:rPr>
        <w:t>El día tres de noviembre de 2015 el suscrito Mtro. Raúl Guzmán Gómez fui designado por unanimidad de los integrantes –con derecho a voto- del Pleno del Consejo General del Instituto Estatal Electoral de Baja California, como Titular de la Unidad Técn</w:t>
      </w:r>
      <w:r w:rsidR="003E6604">
        <w:rPr>
          <w:rFonts w:ascii="Century Gothic" w:hAnsi="Century Gothic"/>
          <w:sz w:val="28"/>
          <w:lang w:val="es-ES"/>
        </w:rPr>
        <w:t xml:space="preserve">ica de lo Contencioso </w:t>
      </w:r>
      <w:r w:rsidR="003E6604">
        <w:rPr>
          <w:rFonts w:ascii="Century Gothic" w:hAnsi="Century Gothic"/>
          <w:sz w:val="28"/>
          <w:lang w:val="es-ES"/>
        </w:rPr>
        <w:lastRenderedPageBreak/>
        <w:t xml:space="preserve">Electoral; cuya función primordial será atender y substanciar las quejas o denuncias que promuevan los partidos políticos y los ciudadanos </w:t>
      </w:r>
      <w:r w:rsidR="00790765">
        <w:rPr>
          <w:rFonts w:ascii="Century Gothic" w:hAnsi="Century Gothic"/>
          <w:sz w:val="28"/>
          <w:lang w:val="es-ES"/>
        </w:rPr>
        <w:t>cuando los hechos constituyan violaciones en materia de propaganda político-electoral.</w:t>
      </w:r>
    </w:p>
    <w:p w:rsidR="00BF2B5A" w:rsidRDefault="00BF2B5A" w:rsidP="005E4726">
      <w:pPr>
        <w:pStyle w:val="Prrafodelista"/>
        <w:tabs>
          <w:tab w:val="left" w:pos="1134"/>
        </w:tabs>
        <w:spacing w:after="0" w:line="360" w:lineRule="auto"/>
        <w:ind w:left="567"/>
        <w:jc w:val="both"/>
        <w:rPr>
          <w:rFonts w:ascii="Century Gothic" w:hAnsi="Century Gothic"/>
          <w:sz w:val="28"/>
          <w:lang w:val="es-ES"/>
        </w:rPr>
      </w:pPr>
    </w:p>
    <w:p w:rsidR="005E4726" w:rsidRDefault="00BF2B5A" w:rsidP="005E4726">
      <w:pPr>
        <w:pStyle w:val="Prrafodelista"/>
        <w:numPr>
          <w:ilvl w:val="1"/>
          <w:numId w:val="1"/>
        </w:numPr>
        <w:tabs>
          <w:tab w:val="left" w:pos="1134"/>
        </w:tabs>
        <w:spacing w:after="0" w:line="360" w:lineRule="auto"/>
        <w:ind w:left="567" w:firstLine="0"/>
        <w:jc w:val="both"/>
        <w:rPr>
          <w:rFonts w:ascii="Century Gothic" w:hAnsi="Century Gothic"/>
          <w:sz w:val="28"/>
          <w:lang w:val="es-ES"/>
        </w:rPr>
      </w:pPr>
      <w:r>
        <w:rPr>
          <w:rFonts w:ascii="Century Gothic" w:hAnsi="Century Gothic"/>
          <w:sz w:val="28"/>
          <w:lang w:val="es-ES"/>
        </w:rPr>
        <w:t xml:space="preserve">Los días </w:t>
      </w:r>
      <w:r w:rsidR="00F342AD">
        <w:rPr>
          <w:rFonts w:ascii="Century Gothic" w:hAnsi="Century Gothic"/>
          <w:sz w:val="28"/>
          <w:lang w:val="es-ES"/>
        </w:rPr>
        <w:t xml:space="preserve">veinte </w:t>
      </w:r>
      <w:r>
        <w:rPr>
          <w:rFonts w:ascii="Century Gothic" w:hAnsi="Century Gothic"/>
          <w:sz w:val="28"/>
          <w:lang w:val="es-ES"/>
        </w:rPr>
        <w:t xml:space="preserve">y </w:t>
      </w:r>
      <w:r w:rsidR="00F342AD">
        <w:rPr>
          <w:rFonts w:ascii="Century Gothic" w:hAnsi="Century Gothic"/>
          <w:sz w:val="28"/>
          <w:lang w:val="es-ES"/>
        </w:rPr>
        <w:t xml:space="preserve">veintitrés </w:t>
      </w:r>
      <w:r>
        <w:rPr>
          <w:rFonts w:ascii="Century Gothic" w:hAnsi="Century Gothic"/>
          <w:sz w:val="28"/>
          <w:lang w:val="es-ES"/>
        </w:rPr>
        <w:t xml:space="preserve">de noviembre de 2015 las CC. Licenciadas Yhayrem Ivonne Mendoza Sosa y Karla Pastrana Sánchez, se incorporaron a esta Unidad </w:t>
      </w:r>
      <w:r w:rsidR="005E4726">
        <w:rPr>
          <w:rFonts w:ascii="Century Gothic" w:hAnsi="Century Gothic"/>
          <w:sz w:val="28"/>
          <w:lang w:val="es-ES"/>
        </w:rPr>
        <w:t xml:space="preserve">de lo Contencioso </w:t>
      </w:r>
      <w:r>
        <w:rPr>
          <w:rFonts w:ascii="Century Gothic" w:hAnsi="Century Gothic"/>
          <w:sz w:val="28"/>
          <w:lang w:val="es-ES"/>
        </w:rPr>
        <w:t xml:space="preserve">como Secretarias de Acuerdos, quienes tienen a su cargo las funciones </w:t>
      </w:r>
      <w:r w:rsidR="005E4726">
        <w:rPr>
          <w:rFonts w:ascii="Century Gothic" w:hAnsi="Century Gothic"/>
          <w:sz w:val="28"/>
          <w:lang w:val="es-ES"/>
        </w:rPr>
        <w:t>siguientes:</w:t>
      </w:r>
    </w:p>
    <w:p w:rsidR="005E4726" w:rsidRDefault="005E4726" w:rsidP="005E4726">
      <w:pPr>
        <w:pStyle w:val="Prrafodelista"/>
        <w:numPr>
          <w:ilvl w:val="0"/>
          <w:numId w:val="3"/>
        </w:numPr>
        <w:tabs>
          <w:tab w:val="left" w:pos="1134"/>
          <w:tab w:val="left" w:pos="1701"/>
        </w:tabs>
        <w:spacing w:after="0" w:line="360" w:lineRule="auto"/>
        <w:ind w:left="1134" w:firstLine="0"/>
        <w:jc w:val="both"/>
        <w:rPr>
          <w:rFonts w:ascii="Century Gothic" w:hAnsi="Century Gothic"/>
          <w:sz w:val="28"/>
          <w:lang w:val="es-ES"/>
        </w:rPr>
      </w:pPr>
      <w:r>
        <w:rPr>
          <w:rFonts w:ascii="Century Gothic" w:hAnsi="Century Gothic"/>
          <w:sz w:val="28"/>
          <w:lang w:val="es-ES"/>
        </w:rPr>
        <w:t>V</w:t>
      </w:r>
      <w:r w:rsidR="006A2827" w:rsidRPr="005E4726">
        <w:rPr>
          <w:rFonts w:ascii="Century Gothic" w:hAnsi="Century Gothic"/>
          <w:sz w:val="28"/>
          <w:lang w:val="es-ES"/>
        </w:rPr>
        <w:t>igilar que se integren los expedientes derivados de la interposición de quejas y denuncias, en los procedimientos sancionadores ordinarios y procedimientos especiales sancionadores;</w:t>
      </w:r>
    </w:p>
    <w:p w:rsidR="006A2827" w:rsidRDefault="005E4726" w:rsidP="005E4726">
      <w:pPr>
        <w:pStyle w:val="Prrafodelista"/>
        <w:numPr>
          <w:ilvl w:val="0"/>
          <w:numId w:val="3"/>
        </w:numPr>
        <w:tabs>
          <w:tab w:val="left" w:pos="1134"/>
          <w:tab w:val="left" w:pos="1701"/>
        </w:tabs>
        <w:spacing w:after="0" w:line="360" w:lineRule="auto"/>
        <w:ind w:left="1134" w:firstLine="0"/>
        <w:jc w:val="both"/>
        <w:rPr>
          <w:rFonts w:ascii="Century Gothic" w:hAnsi="Century Gothic"/>
          <w:sz w:val="28"/>
          <w:lang w:val="es-ES"/>
        </w:rPr>
      </w:pPr>
      <w:r>
        <w:rPr>
          <w:rFonts w:ascii="Century Gothic" w:hAnsi="Century Gothic"/>
          <w:sz w:val="28"/>
          <w:lang w:val="es-ES"/>
        </w:rPr>
        <w:t>C</w:t>
      </w:r>
      <w:r w:rsidR="006A2827" w:rsidRPr="005E4726">
        <w:rPr>
          <w:rFonts w:ascii="Century Gothic" w:hAnsi="Century Gothic"/>
          <w:sz w:val="28"/>
          <w:lang w:val="es-ES"/>
        </w:rPr>
        <w:t>oadyuvar en las inspecciones físicas en general y demás diligencias y actuaciones a realizar para el debido esclarecimiento de los hechos que se investiguen por orden del titular de la Unidad de lo Contencioso</w:t>
      </w:r>
      <w:r>
        <w:rPr>
          <w:rFonts w:ascii="Century Gothic" w:hAnsi="Century Gothic"/>
          <w:sz w:val="28"/>
          <w:lang w:val="es-ES"/>
        </w:rPr>
        <w:t>;</w:t>
      </w:r>
    </w:p>
    <w:p w:rsidR="006A2827" w:rsidRPr="005E4726" w:rsidRDefault="006A2827" w:rsidP="005E4726">
      <w:pPr>
        <w:pStyle w:val="Prrafodelista"/>
        <w:numPr>
          <w:ilvl w:val="0"/>
          <w:numId w:val="3"/>
        </w:numPr>
        <w:tabs>
          <w:tab w:val="left" w:pos="1134"/>
          <w:tab w:val="left" w:pos="1701"/>
        </w:tabs>
        <w:spacing w:after="0" w:line="360" w:lineRule="auto"/>
        <w:ind w:left="1134" w:firstLine="0"/>
        <w:jc w:val="both"/>
        <w:rPr>
          <w:rFonts w:ascii="Century Gothic" w:hAnsi="Century Gothic"/>
          <w:sz w:val="28"/>
          <w:lang w:val="es-ES"/>
        </w:rPr>
      </w:pPr>
      <w:r w:rsidRPr="005E4726">
        <w:rPr>
          <w:rFonts w:ascii="Century Gothic" w:hAnsi="Century Gothic"/>
          <w:sz w:val="28"/>
          <w:lang w:val="es-ES"/>
        </w:rPr>
        <w:t>Elaborar los proyectos de acuerdos de admisión, de desechamiento, de recepción de contestación, de desahogo de pruebas y demás que se requieran en la tramitación de los procedimientos ordinarios y especiales sancionadores;</w:t>
      </w:r>
    </w:p>
    <w:p w:rsidR="006A2827" w:rsidRPr="006A2827" w:rsidRDefault="006A2827" w:rsidP="005E4726">
      <w:pPr>
        <w:pStyle w:val="Prrafodelista"/>
        <w:numPr>
          <w:ilvl w:val="0"/>
          <w:numId w:val="3"/>
        </w:numPr>
        <w:tabs>
          <w:tab w:val="left" w:pos="1134"/>
          <w:tab w:val="left" w:pos="1701"/>
        </w:tabs>
        <w:spacing w:after="0" w:line="360" w:lineRule="auto"/>
        <w:ind w:left="1134" w:firstLine="0"/>
        <w:jc w:val="both"/>
        <w:rPr>
          <w:rFonts w:ascii="Century Gothic" w:hAnsi="Century Gothic"/>
          <w:sz w:val="28"/>
          <w:lang w:val="es-ES"/>
        </w:rPr>
      </w:pPr>
      <w:r w:rsidRPr="006A2827">
        <w:rPr>
          <w:rFonts w:ascii="Century Gothic" w:hAnsi="Century Gothic"/>
          <w:sz w:val="28"/>
          <w:lang w:val="es-ES"/>
        </w:rPr>
        <w:lastRenderedPageBreak/>
        <w:t>Foliar y rubricar las fojas de las actuaciones y documentos recibidos durante el día, así como poner el sello del Consejo General en el fondo del cuaderno, de modo que abarque las dos caras;</w:t>
      </w:r>
    </w:p>
    <w:p w:rsidR="006A2827" w:rsidRPr="006A2827" w:rsidRDefault="006A2827" w:rsidP="005E4726">
      <w:pPr>
        <w:pStyle w:val="Prrafodelista"/>
        <w:numPr>
          <w:ilvl w:val="0"/>
          <w:numId w:val="3"/>
        </w:numPr>
        <w:tabs>
          <w:tab w:val="left" w:pos="1134"/>
          <w:tab w:val="left" w:pos="1701"/>
        </w:tabs>
        <w:spacing w:after="0" w:line="360" w:lineRule="auto"/>
        <w:ind w:left="1134" w:firstLine="0"/>
        <w:jc w:val="both"/>
        <w:rPr>
          <w:rFonts w:ascii="Century Gothic" w:hAnsi="Century Gothic"/>
          <w:sz w:val="28"/>
          <w:lang w:val="es-ES"/>
        </w:rPr>
      </w:pPr>
      <w:r w:rsidRPr="006A2827">
        <w:rPr>
          <w:rFonts w:ascii="Century Gothic" w:hAnsi="Century Gothic"/>
          <w:sz w:val="28"/>
          <w:lang w:val="es-ES"/>
        </w:rPr>
        <w:t>Coadyuvar en la expedición de las copias certificadas y simples de actuaciones y constancias que se soliciten, de acuerdo a las disposiciones legales aplicables;</w:t>
      </w:r>
    </w:p>
    <w:p w:rsidR="006A2827" w:rsidRPr="006A2827" w:rsidRDefault="006A2827" w:rsidP="005E4726">
      <w:pPr>
        <w:pStyle w:val="Prrafodelista"/>
        <w:numPr>
          <w:ilvl w:val="0"/>
          <w:numId w:val="3"/>
        </w:numPr>
        <w:tabs>
          <w:tab w:val="left" w:pos="1134"/>
          <w:tab w:val="left" w:pos="1701"/>
        </w:tabs>
        <w:spacing w:after="0" w:line="360" w:lineRule="auto"/>
        <w:ind w:left="1134" w:firstLine="0"/>
        <w:jc w:val="both"/>
        <w:rPr>
          <w:rFonts w:ascii="Century Gothic" w:hAnsi="Century Gothic"/>
          <w:sz w:val="28"/>
          <w:lang w:val="es-ES"/>
        </w:rPr>
      </w:pPr>
      <w:r w:rsidRPr="006A2827">
        <w:rPr>
          <w:rFonts w:ascii="Century Gothic" w:hAnsi="Century Gothic"/>
          <w:sz w:val="28"/>
          <w:lang w:val="es-ES"/>
        </w:rPr>
        <w:t>Actualizar en forma permanente los libros de gobierno;</w:t>
      </w:r>
    </w:p>
    <w:p w:rsidR="006A2827" w:rsidRPr="006A2827" w:rsidRDefault="006A2827" w:rsidP="005E4726">
      <w:pPr>
        <w:pStyle w:val="Prrafodelista"/>
        <w:numPr>
          <w:ilvl w:val="0"/>
          <w:numId w:val="3"/>
        </w:numPr>
        <w:tabs>
          <w:tab w:val="left" w:pos="1134"/>
          <w:tab w:val="left" w:pos="1701"/>
        </w:tabs>
        <w:spacing w:after="0" w:line="360" w:lineRule="auto"/>
        <w:ind w:left="1134" w:firstLine="0"/>
        <w:jc w:val="both"/>
        <w:rPr>
          <w:rFonts w:ascii="Century Gothic" w:hAnsi="Century Gothic"/>
          <w:sz w:val="28"/>
          <w:lang w:val="es-ES"/>
        </w:rPr>
      </w:pPr>
      <w:r w:rsidRPr="006A2827">
        <w:rPr>
          <w:rFonts w:ascii="Century Gothic" w:hAnsi="Century Gothic"/>
          <w:sz w:val="28"/>
          <w:lang w:val="es-ES"/>
        </w:rPr>
        <w:t xml:space="preserve">Auxiliar al titular de la Unidad de lo Contencioso durante el desarrollo de las diligencias </w:t>
      </w:r>
      <w:r w:rsidR="005E4726">
        <w:rPr>
          <w:rFonts w:ascii="Century Gothic" w:hAnsi="Century Gothic"/>
          <w:sz w:val="28"/>
          <w:lang w:val="es-ES"/>
        </w:rPr>
        <w:t>y actuaciones que se practiquen, y</w:t>
      </w:r>
    </w:p>
    <w:p w:rsidR="00BF2B5A" w:rsidRDefault="006A2827" w:rsidP="003E6604">
      <w:pPr>
        <w:pStyle w:val="Prrafodelista"/>
        <w:numPr>
          <w:ilvl w:val="0"/>
          <w:numId w:val="3"/>
        </w:numPr>
        <w:tabs>
          <w:tab w:val="left" w:pos="1134"/>
          <w:tab w:val="left" w:pos="1701"/>
        </w:tabs>
        <w:spacing w:after="0" w:line="360" w:lineRule="auto"/>
        <w:ind w:left="1134" w:firstLine="0"/>
        <w:jc w:val="both"/>
        <w:rPr>
          <w:rFonts w:ascii="Century Gothic" w:hAnsi="Century Gothic"/>
          <w:sz w:val="28"/>
          <w:lang w:val="es-ES"/>
        </w:rPr>
      </w:pPr>
      <w:r w:rsidRPr="006A2827">
        <w:rPr>
          <w:rFonts w:ascii="Century Gothic" w:hAnsi="Century Gothic"/>
          <w:sz w:val="28"/>
          <w:lang w:val="es-ES"/>
        </w:rPr>
        <w:t>Elaborar los proyectos de informes que se requieran para los órganos jurisdiccionales electorales</w:t>
      </w:r>
      <w:r w:rsidR="005E4726">
        <w:rPr>
          <w:rFonts w:ascii="Century Gothic" w:hAnsi="Century Gothic"/>
          <w:sz w:val="28"/>
          <w:lang w:val="es-ES"/>
        </w:rPr>
        <w:t>.</w:t>
      </w:r>
    </w:p>
    <w:p w:rsidR="00BF2B5A" w:rsidRDefault="00BF2B5A" w:rsidP="003E6604">
      <w:pPr>
        <w:pStyle w:val="Prrafodelista"/>
        <w:spacing w:after="0" w:line="360" w:lineRule="auto"/>
        <w:ind w:left="0"/>
        <w:jc w:val="both"/>
        <w:rPr>
          <w:rFonts w:ascii="Century Gothic" w:hAnsi="Century Gothic"/>
          <w:sz w:val="28"/>
          <w:lang w:val="es-ES"/>
        </w:rPr>
      </w:pPr>
    </w:p>
    <w:p w:rsidR="005E4726" w:rsidRPr="003E6604" w:rsidRDefault="005E4726" w:rsidP="003E6604">
      <w:pPr>
        <w:pStyle w:val="Prrafodelista"/>
        <w:numPr>
          <w:ilvl w:val="0"/>
          <w:numId w:val="1"/>
        </w:numPr>
        <w:tabs>
          <w:tab w:val="left" w:pos="567"/>
        </w:tabs>
        <w:spacing w:after="0" w:line="360" w:lineRule="auto"/>
        <w:ind w:left="0" w:firstLine="0"/>
        <w:rPr>
          <w:rFonts w:ascii="Century Gothic" w:hAnsi="Century Gothic"/>
          <w:b/>
          <w:sz w:val="28"/>
          <w:lang w:val="es-ES"/>
        </w:rPr>
      </w:pPr>
      <w:r w:rsidRPr="003E6604">
        <w:rPr>
          <w:rFonts w:ascii="Century Gothic" w:hAnsi="Century Gothic"/>
          <w:b/>
          <w:sz w:val="28"/>
          <w:lang w:val="es-ES"/>
        </w:rPr>
        <w:t>PROCEDIMIENTO SANCIONADOR</w:t>
      </w:r>
      <w:r w:rsidR="00790765" w:rsidRPr="00790765">
        <w:rPr>
          <w:rFonts w:ascii="Century Gothic" w:hAnsi="Century Gothic"/>
          <w:b/>
          <w:sz w:val="28"/>
          <w:lang w:val="es-ES"/>
        </w:rPr>
        <w:t xml:space="preserve"> </w:t>
      </w:r>
      <w:r w:rsidR="00790765" w:rsidRPr="003E6604">
        <w:rPr>
          <w:rFonts w:ascii="Century Gothic" w:hAnsi="Century Gothic"/>
          <w:b/>
          <w:sz w:val="28"/>
          <w:lang w:val="es-ES"/>
        </w:rPr>
        <w:t>ORDINARIO</w:t>
      </w:r>
      <w:r w:rsidR="00790765">
        <w:rPr>
          <w:rFonts w:ascii="Century Gothic" w:hAnsi="Century Gothic"/>
          <w:b/>
          <w:sz w:val="28"/>
          <w:lang w:val="es-ES"/>
        </w:rPr>
        <w:t>.</w:t>
      </w:r>
    </w:p>
    <w:p w:rsidR="005E4726" w:rsidRDefault="003E6604" w:rsidP="003E6604">
      <w:pPr>
        <w:pStyle w:val="Prrafodelista"/>
        <w:spacing w:after="0" w:line="360" w:lineRule="auto"/>
        <w:ind w:left="567"/>
        <w:jc w:val="both"/>
        <w:rPr>
          <w:rFonts w:ascii="Century Gothic" w:hAnsi="Century Gothic"/>
          <w:sz w:val="28"/>
          <w:lang w:val="es-ES"/>
        </w:rPr>
      </w:pPr>
      <w:r>
        <w:rPr>
          <w:rFonts w:ascii="Century Gothic" w:hAnsi="Century Gothic"/>
          <w:sz w:val="28"/>
          <w:lang w:val="es-ES"/>
        </w:rPr>
        <w:t xml:space="preserve">Atendiendo los artículos 364 y 365 de la Ley Electoral del Estado de Baja California, </w:t>
      </w:r>
      <w:r w:rsidR="00790765">
        <w:rPr>
          <w:rFonts w:ascii="Century Gothic" w:hAnsi="Century Gothic"/>
          <w:sz w:val="28"/>
          <w:lang w:val="es-ES"/>
        </w:rPr>
        <w:t xml:space="preserve">el procedimiento sancionador </w:t>
      </w:r>
      <w:r w:rsidR="002F0774">
        <w:rPr>
          <w:rFonts w:ascii="Century Gothic" w:hAnsi="Century Gothic"/>
          <w:sz w:val="28"/>
          <w:lang w:val="es-ES"/>
        </w:rPr>
        <w:t xml:space="preserve">ordinario </w:t>
      </w:r>
      <w:r w:rsidR="00790765">
        <w:rPr>
          <w:rFonts w:ascii="Century Gothic" w:hAnsi="Century Gothic"/>
          <w:sz w:val="28"/>
          <w:lang w:val="es-ES"/>
        </w:rPr>
        <w:t>tiene por objeto sancionar las infracciones cometidas a las disposiciones electorales, dentro y fuera del proceso electoral. D</w:t>
      </w:r>
      <w:r>
        <w:rPr>
          <w:rFonts w:ascii="Century Gothic" w:hAnsi="Century Gothic"/>
          <w:sz w:val="28"/>
          <w:lang w:val="es-ES"/>
        </w:rPr>
        <w:t>urante este per</w:t>
      </w:r>
      <w:r w:rsidR="00790765">
        <w:rPr>
          <w:rFonts w:ascii="Century Gothic" w:hAnsi="Century Gothic"/>
          <w:sz w:val="28"/>
          <w:lang w:val="es-ES"/>
        </w:rPr>
        <w:t>í</w:t>
      </w:r>
      <w:r>
        <w:rPr>
          <w:rFonts w:ascii="Century Gothic" w:hAnsi="Century Gothic"/>
          <w:sz w:val="28"/>
          <w:lang w:val="es-ES"/>
        </w:rPr>
        <w:t>odo solo se recibió UNA queja o denuncia, misma que procedo a brindar un resumen ejecutivo.</w:t>
      </w:r>
    </w:p>
    <w:p w:rsidR="003E6604" w:rsidRDefault="003E6604" w:rsidP="003E6604">
      <w:pPr>
        <w:pStyle w:val="Prrafodelista"/>
        <w:spacing w:after="0" w:line="360" w:lineRule="auto"/>
        <w:ind w:left="567"/>
        <w:jc w:val="both"/>
        <w:rPr>
          <w:rFonts w:ascii="Century Gothic" w:hAnsi="Century Gothic"/>
          <w:sz w:val="28"/>
          <w:lang w:val="es-ES"/>
        </w:rPr>
      </w:pPr>
    </w:p>
    <w:p w:rsidR="00790765" w:rsidRDefault="00790765" w:rsidP="003E6604">
      <w:pPr>
        <w:pStyle w:val="Prrafodelista"/>
        <w:spacing w:after="0" w:line="360" w:lineRule="auto"/>
        <w:ind w:left="567"/>
        <w:jc w:val="both"/>
        <w:rPr>
          <w:rFonts w:ascii="Century Gothic" w:hAnsi="Century Gothic"/>
          <w:sz w:val="28"/>
          <w:lang w:val="es-ES"/>
        </w:rPr>
      </w:pPr>
    </w:p>
    <w:p w:rsidR="005E4726" w:rsidRPr="003E6604" w:rsidRDefault="005E4726" w:rsidP="003E6604">
      <w:pPr>
        <w:pStyle w:val="Prrafodelista"/>
        <w:numPr>
          <w:ilvl w:val="1"/>
          <w:numId w:val="1"/>
        </w:numPr>
        <w:tabs>
          <w:tab w:val="left" w:pos="1134"/>
        </w:tabs>
        <w:spacing w:after="0" w:line="360" w:lineRule="auto"/>
        <w:ind w:left="567" w:firstLine="0"/>
        <w:jc w:val="both"/>
        <w:rPr>
          <w:rFonts w:ascii="Century Gothic" w:hAnsi="Century Gothic"/>
          <w:sz w:val="28"/>
          <w:lang w:val="es-ES"/>
        </w:rPr>
      </w:pPr>
      <w:r w:rsidRPr="003E6604">
        <w:rPr>
          <w:rFonts w:ascii="Century Gothic" w:hAnsi="Century Gothic"/>
          <w:sz w:val="28"/>
          <w:lang w:val="es-ES"/>
        </w:rPr>
        <w:t>El trece de noviembre de 2015 la Oficialía de Partes del Instituto recibió un escrito promovido por el C. Joel Anselmo Jiménez Vega, mediante el cual interpone queja o denuncia en contra del C. Oscar Eduardo Rosales Rivera y/o la Comisión que haya emitido el acuerdo donde se le negó el derecho de ejercer sus derechos políticos electorales como fundador y representante legal del Partido Peninsular de las Californias ante el Instituto Estatal Electoral de Baja California.</w:t>
      </w:r>
    </w:p>
    <w:p w:rsidR="005E4726" w:rsidRPr="003E6604" w:rsidRDefault="005E4726" w:rsidP="003E6604">
      <w:pPr>
        <w:pStyle w:val="Prrafodelista"/>
        <w:tabs>
          <w:tab w:val="left" w:pos="1134"/>
        </w:tabs>
        <w:spacing w:after="0" w:line="360" w:lineRule="auto"/>
        <w:ind w:left="567"/>
        <w:jc w:val="both"/>
        <w:rPr>
          <w:rFonts w:ascii="Century Gothic" w:hAnsi="Century Gothic"/>
          <w:sz w:val="28"/>
          <w:lang w:val="es-ES"/>
        </w:rPr>
      </w:pPr>
    </w:p>
    <w:p w:rsidR="005E4726" w:rsidRPr="003E6604" w:rsidRDefault="005E4726" w:rsidP="003E6604">
      <w:pPr>
        <w:pStyle w:val="Prrafodelista"/>
        <w:numPr>
          <w:ilvl w:val="1"/>
          <w:numId w:val="1"/>
        </w:numPr>
        <w:tabs>
          <w:tab w:val="left" w:pos="1134"/>
        </w:tabs>
        <w:spacing w:after="0" w:line="360" w:lineRule="auto"/>
        <w:ind w:left="567" w:firstLine="0"/>
        <w:jc w:val="both"/>
        <w:rPr>
          <w:rFonts w:ascii="Century Gothic" w:hAnsi="Century Gothic"/>
          <w:sz w:val="28"/>
          <w:lang w:val="es-ES"/>
        </w:rPr>
      </w:pPr>
      <w:r w:rsidRPr="003E6604">
        <w:rPr>
          <w:rFonts w:ascii="Century Gothic" w:hAnsi="Century Gothic"/>
          <w:sz w:val="28"/>
          <w:lang w:val="es-ES"/>
        </w:rPr>
        <w:t>El catorce de noviembre de 2015 la Presidencia del Consejo General mediante el oficio número CGE/1690/2015, remitió a la Unidad de lo Contencioso la queja o denuncia del promovente para los efectos conducentes.</w:t>
      </w:r>
    </w:p>
    <w:p w:rsidR="005E4726" w:rsidRPr="003E6604" w:rsidRDefault="005E4726" w:rsidP="003E6604">
      <w:pPr>
        <w:pStyle w:val="Prrafodelista"/>
        <w:tabs>
          <w:tab w:val="left" w:pos="1134"/>
        </w:tabs>
        <w:spacing w:after="0" w:line="360" w:lineRule="auto"/>
        <w:ind w:left="567"/>
        <w:jc w:val="both"/>
        <w:rPr>
          <w:rFonts w:ascii="Century Gothic" w:hAnsi="Century Gothic"/>
          <w:sz w:val="28"/>
          <w:lang w:val="es-ES"/>
        </w:rPr>
      </w:pPr>
    </w:p>
    <w:p w:rsidR="005E4726" w:rsidRPr="003E6604" w:rsidRDefault="005E4726" w:rsidP="005E4726">
      <w:pPr>
        <w:pStyle w:val="Prrafodelista"/>
        <w:numPr>
          <w:ilvl w:val="1"/>
          <w:numId w:val="1"/>
        </w:numPr>
        <w:tabs>
          <w:tab w:val="left" w:pos="1134"/>
        </w:tabs>
        <w:spacing w:after="0" w:line="360" w:lineRule="auto"/>
        <w:ind w:left="567" w:firstLine="0"/>
        <w:jc w:val="both"/>
        <w:rPr>
          <w:rFonts w:ascii="Century Gothic" w:hAnsi="Century Gothic" w:cs="Tahoma"/>
          <w:sz w:val="28"/>
          <w:szCs w:val="28"/>
        </w:rPr>
      </w:pPr>
      <w:r w:rsidRPr="003E6604">
        <w:rPr>
          <w:rFonts w:ascii="Century Gothic" w:hAnsi="Century Gothic"/>
          <w:sz w:val="28"/>
          <w:lang w:val="es-ES"/>
        </w:rPr>
        <w:t>El dieciocho de noviembre de 2015 la Unidad de lo Contencioso emitió el acuerdo de recepción de la queja o denuncia, asignándole la clave de expediente IEEBC/UTCE/PSO/01/2015. Así mismo, advirtió la existencia de la causal de improcedencia prevista en el artículo 367, fracción I, inciso c) de la Ley Electoral, toda vez que esta fue interpuesta en contra de</w:t>
      </w:r>
      <w:r w:rsidR="003E6604" w:rsidRPr="003E6604">
        <w:rPr>
          <w:rFonts w:ascii="Century Gothic" w:hAnsi="Century Gothic"/>
          <w:sz w:val="28"/>
          <w:lang w:val="es-ES"/>
        </w:rPr>
        <w:t xml:space="preserve"> un</w:t>
      </w:r>
      <w:r w:rsidRPr="003E6604">
        <w:rPr>
          <w:rFonts w:ascii="Century Gothic" w:hAnsi="Century Gothic"/>
          <w:sz w:val="28"/>
          <w:lang w:val="es-ES"/>
        </w:rPr>
        <w:t xml:space="preserve"> </w:t>
      </w:r>
      <w:r w:rsidR="003E6604">
        <w:rPr>
          <w:rFonts w:ascii="Century Gothic" w:hAnsi="Century Gothic"/>
          <w:sz w:val="28"/>
          <w:lang w:val="es-ES"/>
        </w:rPr>
        <w:t xml:space="preserve">servidor público del Instituto. </w:t>
      </w:r>
    </w:p>
    <w:p w:rsidR="003E6604" w:rsidRDefault="003E6604" w:rsidP="003E6604">
      <w:pPr>
        <w:pStyle w:val="Prrafodelista"/>
        <w:tabs>
          <w:tab w:val="left" w:pos="1134"/>
        </w:tabs>
        <w:spacing w:after="0" w:line="360" w:lineRule="auto"/>
        <w:ind w:left="567"/>
        <w:jc w:val="both"/>
        <w:rPr>
          <w:rFonts w:ascii="Century Gothic" w:hAnsi="Century Gothic" w:cs="Tahoma"/>
          <w:sz w:val="28"/>
          <w:szCs w:val="28"/>
        </w:rPr>
      </w:pPr>
    </w:p>
    <w:p w:rsidR="00790765" w:rsidRPr="003E6604" w:rsidRDefault="00790765" w:rsidP="003E6604">
      <w:pPr>
        <w:pStyle w:val="Prrafodelista"/>
        <w:tabs>
          <w:tab w:val="left" w:pos="1134"/>
        </w:tabs>
        <w:spacing w:after="0" w:line="360" w:lineRule="auto"/>
        <w:ind w:left="567"/>
        <w:jc w:val="both"/>
        <w:rPr>
          <w:rFonts w:ascii="Century Gothic" w:hAnsi="Century Gothic" w:cs="Tahoma"/>
          <w:sz w:val="28"/>
          <w:szCs w:val="28"/>
        </w:rPr>
      </w:pPr>
    </w:p>
    <w:p w:rsidR="005E4726" w:rsidRDefault="005E4726" w:rsidP="005E4726">
      <w:pPr>
        <w:pStyle w:val="Prrafodelista"/>
        <w:tabs>
          <w:tab w:val="left" w:pos="1134"/>
        </w:tabs>
        <w:spacing w:line="360" w:lineRule="auto"/>
        <w:ind w:left="567"/>
        <w:jc w:val="both"/>
        <w:rPr>
          <w:rFonts w:ascii="Century Gothic" w:hAnsi="Century Gothic" w:cs="Tahoma"/>
          <w:sz w:val="28"/>
          <w:szCs w:val="28"/>
        </w:rPr>
      </w:pPr>
      <w:r>
        <w:rPr>
          <w:rFonts w:ascii="Century Gothic" w:hAnsi="Century Gothic" w:cs="Tahoma"/>
          <w:sz w:val="28"/>
          <w:szCs w:val="28"/>
        </w:rPr>
        <w:lastRenderedPageBreak/>
        <w:t xml:space="preserve">Ese mismo día, la Unidad de lo Contencioso a través del oficio número IEEBC/UTCE/002/2015, turnó a la Comisión de Quejas el proyecto de resolución en el que declara la improcedencia por resultar incompetente para tramitar o substanciar la queja o denuncia, en términos de los artículos 367, fracción I, inciso c), </w:t>
      </w:r>
      <w:r>
        <w:rPr>
          <w:rFonts w:ascii="Century Gothic" w:hAnsi="Century Gothic"/>
          <w:sz w:val="28"/>
        </w:rPr>
        <w:t xml:space="preserve">368, fracciones I y II, y 370, fracción I de la Ley Electoral; </w:t>
      </w:r>
      <w:r>
        <w:rPr>
          <w:rFonts w:ascii="Century Gothic" w:hAnsi="Century Gothic" w:cs="Tahoma"/>
          <w:sz w:val="28"/>
          <w:szCs w:val="28"/>
        </w:rPr>
        <w:t>23, 26, numeral 3 y 34, numeral 1, inciso e) del Reglamento Interior del Instituto.</w:t>
      </w:r>
    </w:p>
    <w:p w:rsidR="003E6604" w:rsidRDefault="003E6604" w:rsidP="005E4726">
      <w:pPr>
        <w:pStyle w:val="Prrafodelista"/>
        <w:tabs>
          <w:tab w:val="left" w:pos="1134"/>
        </w:tabs>
        <w:spacing w:line="360" w:lineRule="auto"/>
        <w:ind w:left="567"/>
        <w:jc w:val="both"/>
        <w:rPr>
          <w:rFonts w:ascii="Century Gothic" w:hAnsi="Century Gothic" w:cs="Tahoma"/>
          <w:sz w:val="28"/>
          <w:szCs w:val="28"/>
        </w:rPr>
      </w:pPr>
    </w:p>
    <w:p w:rsidR="003E6604" w:rsidRDefault="003E6604" w:rsidP="003E6604">
      <w:pPr>
        <w:pStyle w:val="Prrafodelista"/>
        <w:numPr>
          <w:ilvl w:val="1"/>
          <w:numId w:val="1"/>
        </w:numPr>
        <w:tabs>
          <w:tab w:val="left" w:pos="1134"/>
        </w:tabs>
        <w:spacing w:after="0" w:line="360" w:lineRule="auto"/>
        <w:ind w:left="567" w:firstLine="0"/>
        <w:jc w:val="both"/>
        <w:rPr>
          <w:rFonts w:ascii="Century Gothic" w:hAnsi="Century Gothic" w:cs="Tahoma"/>
          <w:sz w:val="28"/>
          <w:szCs w:val="28"/>
        </w:rPr>
      </w:pPr>
      <w:r w:rsidRPr="00E21303">
        <w:rPr>
          <w:rFonts w:ascii="Century Gothic" w:hAnsi="Century Gothic" w:cs="Tahoma"/>
          <w:sz w:val="28"/>
          <w:szCs w:val="28"/>
        </w:rPr>
        <w:t>El veinte de noviembre de 2015 la Comisión de Quejas celebró sesión de dictaminación con el objeto de discutir y aprobar en su caso, el dictamen relativo al procedimiento sancionador ordinario bajo la clave de expediente IEEBC/UTCE/PSO/01/2015, con motivo de la queja o denuncia interpuesta por el C. Joel Anselmo Jiménez Vega</w:t>
      </w:r>
      <w:r>
        <w:rPr>
          <w:rFonts w:ascii="Century Gothic" w:hAnsi="Century Gothic" w:cs="Tahoma"/>
          <w:sz w:val="28"/>
          <w:szCs w:val="28"/>
        </w:rPr>
        <w:t>.</w:t>
      </w:r>
    </w:p>
    <w:p w:rsidR="003E6604" w:rsidRDefault="003E6604" w:rsidP="003E6604">
      <w:pPr>
        <w:pStyle w:val="Prrafodelista"/>
        <w:tabs>
          <w:tab w:val="left" w:pos="1134"/>
        </w:tabs>
        <w:spacing w:after="0" w:line="360" w:lineRule="auto"/>
        <w:ind w:left="567"/>
        <w:jc w:val="both"/>
        <w:rPr>
          <w:rFonts w:ascii="Century Gothic" w:hAnsi="Century Gothic" w:cs="Tahoma"/>
          <w:sz w:val="28"/>
          <w:szCs w:val="28"/>
        </w:rPr>
      </w:pPr>
    </w:p>
    <w:p w:rsidR="003E6604" w:rsidRDefault="003E6604" w:rsidP="003E6604">
      <w:pPr>
        <w:pStyle w:val="Prrafodelista"/>
        <w:numPr>
          <w:ilvl w:val="1"/>
          <w:numId w:val="1"/>
        </w:numPr>
        <w:tabs>
          <w:tab w:val="left" w:pos="1134"/>
        </w:tabs>
        <w:spacing w:after="0" w:line="360" w:lineRule="auto"/>
        <w:ind w:left="567" w:firstLine="0"/>
        <w:jc w:val="both"/>
        <w:rPr>
          <w:rFonts w:ascii="Century Gothic" w:hAnsi="Century Gothic" w:cs="Tahoma"/>
          <w:sz w:val="28"/>
          <w:szCs w:val="28"/>
        </w:rPr>
      </w:pPr>
      <w:r>
        <w:rPr>
          <w:rFonts w:ascii="Century Gothic" w:hAnsi="Century Gothic" w:cs="Tahoma"/>
          <w:sz w:val="28"/>
          <w:szCs w:val="28"/>
        </w:rPr>
        <w:t>El catorce de diciembre de 2015 el Pleno del Consejo General Electoral aprobó de manera definitiva el dictamen indicado en el párrafo anterior y cuyos puntos resolutivos a la letra dicen:</w:t>
      </w:r>
    </w:p>
    <w:p w:rsidR="003E6604" w:rsidRDefault="003E6604" w:rsidP="003E6604">
      <w:pPr>
        <w:pStyle w:val="Prrafodelista"/>
        <w:tabs>
          <w:tab w:val="left" w:pos="1134"/>
        </w:tabs>
        <w:spacing w:after="0" w:line="360" w:lineRule="auto"/>
        <w:ind w:left="567"/>
        <w:jc w:val="both"/>
        <w:rPr>
          <w:rFonts w:ascii="Century Gothic" w:hAnsi="Century Gothic" w:cs="Tahoma"/>
          <w:sz w:val="28"/>
          <w:szCs w:val="28"/>
        </w:rPr>
      </w:pPr>
    </w:p>
    <w:p w:rsidR="003E6604" w:rsidRPr="003E6604" w:rsidRDefault="003E6604" w:rsidP="003E6604">
      <w:pPr>
        <w:pStyle w:val="Textoindependiente"/>
        <w:numPr>
          <w:ilvl w:val="0"/>
          <w:numId w:val="5"/>
        </w:numPr>
        <w:tabs>
          <w:tab w:val="left" w:pos="2268"/>
        </w:tabs>
        <w:spacing w:line="360" w:lineRule="auto"/>
        <w:ind w:left="1134" w:firstLine="0"/>
        <w:contextualSpacing/>
        <w:rPr>
          <w:rFonts w:ascii="Century Gothic" w:hAnsi="Century Gothic"/>
          <w:i/>
          <w:sz w:val="20"/>
          <w:szCs w:val="28"/>
        </w:rPr>
      </w:pPr>
      <w:r w:rsidRPr="003E6604">
        <w:rPr>
          <w:rFonts w:ascii="Century Gothic" w:hAnsi="Century Gothic"/>
          <w:i/>
          <w:sz w:val="20"/>
          <w:szCs w:val="28"/>
        </w:rPr>
        <w:t>Se declara la improcedencia de la queja o denuncia interpuesta por el C. Joel Anselmo Jiménez Vega ante la falta de competencia de la Unidad de lo Contencioso Electoral para conocer  de las responsabilidades administrativas de los servidores públicos del Instituto Estatal Electoral de Baja California, en términos del considerando II.</w:t>
      </w:r>
    </w:p>
    <w:p w:rsidR="003E6604" w:rsidRPr="003E6604" w:rsidRDefault="003E6604" w:rsidP="003E6604">
      <w:pPr>
        <w:pStyle w:val="Textoindependiente"/>
        <w:tabs>
          <w:tab w:val="left" w:pos="2552"/>
        </w:tabs>
        <w:spacing w:line="360" w:lineRule="auto"/>
        <w:ind w:left="1134"/>
        <w:contextualSpacing/>
        <w:rPr>
          <w:rFonts w:ascii="Century Gothic" w:hAnsi="Century Gothic"/>
          <w:i/>
          <w:sz w:val="20"/>
          <w:szCs w:val="28"/>
        </w:rPr>
      </w:pPr>
    </w:p>
    <w:p w:rsidR="003E6604" w:rsidRPr="003E6604" w:rsidRDefault="003E6604" w:rsidP="003E6604">
      <w:pPr>
        <w:pStyle w:val="Textoindependiente"/>
        <w:numPr>
          <w:ilvl w:val="0"/>
          <w:numId w:val="5"/>
        </w:numPr>
        <w:tabs>
          <w:tab w:val="left" w:pos="2268"/>
        </w:tabs>
        <w:spacing w:line="360" w:lineRule="auto"/>
        <w:ind w:left="1134" w:firstLine="0"/>
        <w:contextualSpacing/>
        <w:rPr>
          <w:rFonts w:ascii="Century Gothic" w:hAnsi="Century Gothic"/>
          <w:i/>
          <w:sz w:val="20"/>
          <w:szCs w:val="28"/>
        </w:rPr>
      </w:pPr>
      <w:r w:rsidRPr="003E6604">
        <w:rPr>
          <w:rFonts w:ascii="Century Gothic" w:hAnsi="Century Gothic"/>
          <w:i/>
          <w:sz w:val="20"/>
          <w:szCs w:val="28"/>
        </w:rPr>
        <w:lastRenderedPageBreak/>
        <w:t>Remítase a la Comisión de Control Interno del Consejo General del Instituto Estatal Electoral de Baja California, la queja original y las constancias que integran el expediente en que se actúa, previa copia certificada que de los mismos obren en autos, así como del presente dictamen, a efecto de que en el ámbito de sus atribuciones determine lo que en derecho proceda, en términos del considerando III.</w:t>
      </w:r>
    </w:p>
    <w:p w:rsidR="003E6604" w:rsidRPr="003E6604" w:rsidRDefault="003E6604" w:rsidP="003E6604">
      <w:pPr>
        <w:tabs>
          <w:tab w:val="left" w:pos="2552"/>
        </w:tabs>
        <w:spacing w:after="0" w:line="360" w:lineRule="auto"/>
        <w:ind w:left="1134"/>
        <w:jc w:val="both"/>
        <w:rPr>
          <w:rFonts w:ascii="Century Gothic" w:hAnsi="Century Gothic"/>
          <w:i/>
          <w:sz w:val="20"/>
          <w:szCs w:val="28"/>
        </w:rPr>
      </w:pPr>
    </w:p>
    <w:p w:rsidR="003E6604" w:rsidRPr="003E6604" w:rsidRDefault="003E6604" w:rsidP="003E6604">
      <w:pPr>
        <w:pStyle w:val="Textoindependiente"/>
        <w:numPr>
          <w:ilvl w:val="0"/>
          <w:numId w:val="5"/>
        </w:numPr>
        <w:tabs>
          <w:tab w:val="left" w:pos="2268"/>
        </w:tabs>
        <w:spacing w:line="360" w:lineRule="auto"/>
        <w:ind w:left="1134" w:firstLine="0"/>
        <w:contextualSpacing/>
        <w:rPr>
          <w:rFonts w:ascii="Century Gothic" w:hAnsi="Century Gothic"/>
          <w:i/>
          <w:sz w:val="20"/>
          <w:szCs w:val="28"/>
        </w:rPr>
      </w:pPr>
      <w:r w:rsidRPr="003E6604">
        <w:rPr>
          <w:rFonts w:ascii="Century Gothic" w:hAnsi="Century Gothic"/>
          <w:i/>
          <w:sz w:val="20"/>
          <w:szCs w:val="28"/>
        </w:rPr>
        <w:t>Notifíquese en términos de Ley al C. Joel Anselmo Jiménez Vega, adjuntando copia simple del dictamen.</w:t>
      </w:r>
    </w:p>
    <w:p w:rsidR="003E6604" w:rsidRPr="003E6604" w:rsidRDefault="003E6604" w:rsidP="003E6604">
      <w:pPr>
        <w:pStyle w:val="Textoindependiente"/>
        <w:tabs>
          <w:tab w:val="left" w:pos="2552"/>
        </w:tabs>
        <w:spacing w:line="360" w:lineRule="auto"/>
        <w:ind w:left="1134"/>
        <w:contextualSpacing/>
        <w:rPr>
          <w:rFonts w:ascii="Century Gothic" w:hAnsi="Century Gothic"/>
          <w:i/>
          <w:sz w:val="20"/>
          <w:szCs w:val="28"/>
        </w:rPr>
      </w:pPr>
    </w:p>
    <w:p w:rsidR="003E6604" w:rsidRPr="003E6604" w:rsidRDefault="003E6604" w:rsidP="003E6604">
      <w:pPr>
        <w:pStyle w:val="Textoindependiente"/>
        <w:numPr>
          <w:ilvl w:val="0"/>
          <w:numId w:val="5"/>
        </w:numPr>
        <w:tabs>
          <w:tab w:val="left" w:pos="2268"/>
        </w:tabs>
        <w:spacing w:line="360" w:lineRule="auto"/>
        <w:ind w:left="1134" w:firstLine="0"/>
        <w:contextualSpacing/>
        <w:rPr>
          <w:rFonts w:ascii="Century Gothic" w:hAnsi="Century Gothic"/>
          <w:i/>
          <w:sz w:val="20"/>
          <w:szCs w:val="28"/>
        </w:rPr>
      </w:pPr>
      <w:r w:rsidRPr="003E6604">
        <w:rPr>
          <w:rFonts w:ascii="Century Gothic" w:hAnsi="Century Gothic"/>
          <w:i/>
          <w:sz w:val="20"/>
          <w:szCs w:val="28"/>
        </w:rPr>
        <w:t>Publíquese el dictamen en el portal de Internet del Instituto Estatal Electoral de Baja California.</w:t>
      </w:r>
    </w:p>
    <w:p w:rsidR="003E6604" w:rsidRPr="003E6604" w:rsidRDefault="003E6604" w:rsidP="003E6604">
      <w:pPr>
        <w:pStyle w:val="Textoindependiente"/>
        <w:tabs>
          <w:tab w:val="left" w:pos="2552"/>
        </w:tabs>
        <w:spacing w:line="360" w:lineRule="auto"/>
        <w:ind w:left="1134"/>
        <w:contextualSpacing/>
        <w:rPr>
          <w:rFonts w:ascii="Century Gothic" w:hAnsi="Century Gothic"/>
          <w:i/>
          <w:sz w:val="20"/>
          <w:szCs w:val="28"/>
        </w:rPr>
      </w:pPr>
    </w:p>
    <w:p w:rsidR="003E6604" w:rsidRPr="003E6604" w:rsidRDefault="003E6604" w:rsidP="003E6604">
      <w:pPr>
        <w:pStyle w:val="Textoindependiente"/>
        <w:numPr>
          <w:ilvl w:val="0"/>
          <w:numId w:val="5"/>
        </w:numPr>
        <w:tabs>
          <w:tab w:val="left" w:pos="2268"/>
        </w:tabs>
        <w:spacing w:line="360" w:lineRule="auto"/>
        <w:ind w:left="1134" w:firstLine="0"/>
        <w:contextualSpacing/>
        <w:rPr>
          <w:rFonts w:ascii="Century Gothic" w:hAnsi="Century Gothic"/>
          <w:i/>
          <w:sz w:val="20"/>
          <w:szCs w:val="28"/>
        </w:rPr>
      </w:pPr>
      <w:r w:rsidRPr="003E6604">
        <w:rPr>
          <w:rFonts w:ascii="Century Gothic" w:hAnsi="Century Gothic"/>
          <w:i/>
          <w:sz w:val="20"/>
          <w:szCs w:val="28"/>
        </w:rPr>
        <w:t>En su oportunidad archívese el expediente en que se actúa, como asunto total y definitivamente concluido.</w:t>
      </w:r>
    </w:p>
    <w:p w:rsidR="003E6604" w:rsidRDefault="003E6604" w:rsidP="00BF2B5A">
      <w:pPr>
        <w:pStyle w:val="Prrafodelista"/>
        <w:spacing w:after="0" w:line="360" w:lineRule="auto"/>
        <w:ind w:left="0"/>
        <w:jc w:val="both"/>
        <w:rPr>
          <w:rFonts w:ascii="Century Gothic" w:hAnsi="Century Gothic"/>
          <w:sz w:val="28"/>
          <w:lang w:val="es-ES"/>
        </w:rPr>
      </w:pPr>
    </w:p>
    <w:p w:rsidR="00790765" w:rsidRPr="003E6604" w:rsidRDefault="00790765" w:rsidP="00790765">
      <w:pPr>
        <w:pStyle w:val="Prrafodelista"/>
        <w:numPr>
          <w:ilvl w:val="0"/>
          <w:numId w:val="1"/>
        </w:numPr>
        <w:tabs>
          <w:tab w:val="left" w:pos="567"/>
        </w:tabs>
        <w:spacing w:after="0" w:line="360" w:lineRule="auto"/>
        <w:ind w:left="0" w:firstLine="0"/>
        <w:rPr>
          <w:rFonts w:ascii="Century Gothic" w:hAnsi="Century Gothic"/>
          <w:b/>
          <w:sz w:val="28"/>
          <w:lang w:val="es-ES"/>
        </w:rPr>
      </w:pPr>
      <w:r w:rsidRPr="003E6604">
        <w:rPr>
          <w:rFonts w:ascii="Century Gothic" w:hAnsi="Century Gothic"/>
          <w:b/>
          <w:sz w:val="28"/>
          <w:lang w:val="es-ES"/>
        </w:rPr>
        <w:t xml:space="preserve">PROCEDIMIENTO </w:t>
      </w:r>
      <w:r>
        <w:rPr>
          <w:rFonts w:ascii="Century Gothic" w:hAnsi="Century Gothic"/>
          <w:b/>
          <w:sz w:val="28"/>
          <w:lang w:val="es-ES"/>
        </w:rPr>
        <w:t>ESPECIAL</w:t>
      </w:r>
      <w:r w:rsidRPr="003E6604">
        <w:rPr>
          <w:rFonts w:ascii="Century Gothic" w:hAnsi="Century Gothic"/>
          <w:b/>
          <w:sz w:val="28"/>
          <w:lang w:val="es-ES"/>
        </w:rPr>
        <w:t xml:space="preserve"> SANCIONADOR</w:t>
      </w:r>
      <w:r>
        <w:rPr>
          <w:rFonts w:ascii="Century Gothic" w:hAnsi="Century Gothic"/>
          <w:b/>
          <w:sz w:val="28"/>
          <w:lang w:val="es-ES"/>
        </w:rPr>
        <w:t>.</w:t>
      </w:r>
    </w:p>
    <w:p w:rsidR="002F0774" w:rsidRDefault="002F0774" w:rsidP="002F0774">
      <w:pPr>
        <w:pStyle w:val="Prrafodelista"/>
        <w:spacing w:after="0" w:line="360" w:lineRule="auto"/>
        <w:ind w:left="567"/>
        <w:jc w:val="both"/>
        <w:rPr>
          <w:rFonts w:ascii="Century Gothic" w:hAnsi="Century Gothic"/>
          <w:sz w:val="28"/>
          <w:lang w:val="es-ES"/>
        </w:rPr>
      </w:pPr>
      <w:r>
        <w:rPr>
          <w:rFonts w:ascii="Century Gothic" w:hAnsi="Century Gothic"/>
          <w:sz w:val="28"/>
          <w:lang w:val="es-ES"/>
        </w:rPr>
        <w:t>De conformidad con el artículo 372 de la Ley Electoral del Estado de Baja California, únicamente dentro de los procesos electorales, la Secretaría Ejecutiva del Instituto Estatal Electoral por conducto de la Unidad de lo Contencioso, instruirá el procedimiento especial sancionador, cuando se denuncie la comisión de conductas, no relacionadas con radio y televisión, que:</w:t>
      </w:r>
    </w:p>
    <w:p w:rsidR="002F0774" w:rsidRDefault="002F0774" w:rsidP="002F0774">
      <w:pPr>
        <w:pStyle w:val="Prrafodelista"/>
        <w:spacing w:after="0" w:line="360" w:lineRule="auto"/>
        <w:ind w:left="567"/>
        <w:jc w:val="both"/>
        <w:rPr>
          <w:rFonts w:ascii="Century Gothic" w:hAnsi="Century Gothic"/>
          <w:sz w:val="28"/>
          <w:lang w:val="es-ES"/>
        </w:rPr>
      </w:pPr>
    </w:p>
    <w:p w:rsidR="002F0774" w:rsidRDefault="002F0774" w:rsidP="002F0774">
      <w:pPr>
        <w:pStyle w:val="Prrafodelista"/>
        <w:numPr>
          <w:ilvl w:val="0"/>
          <w:numId w:val="6"/>
        </w:numPr>
        <w:tabs>
          <w:tab w:val="left" w:pos="1134"/>
        </w:tabs>
        <w:spacing w:after="0" w:line="360" w:lineRule="auto"/>
        <w:ind w:left="567" w:firstLine="0"/>
        <w:jc w:val="both"/>
        <w:rPr>
          <w:rFonts w:ascii="Century Gothic" w:hAnsi="Century Gothic"/>
          <w:sz w:val="28"/>
          <w:lang w:val="es-ES"/>
        </w:rPr>
      </w:pPr>
      <w:r>
        <w:rPr>
          <w:rFonts w:ascii="Century Gothic" w:hAnsi="Century Gothic"/>
          <w:sz w:val="28"/>
          <w:lang w:val="es-ES"/>
        </w:rPr>
        <w:t>Violen lo establecido en el párrafo cuarto del artículo 5 de la Constitución Política del Estado, así como aquellas que violen el octavo párrafo del artículo 134</w:t>
      </w:r>
      <w:r w:rsidR="00420FBE">
        <w:rPr>
          <w:rFonts w:ascii="Century Gothic" w:hAnsi="Century Gothic"/>
          <w:sz w:val="28"/>
          <w:lang w:val="es-ES"/>
        </w:rPr>
        <w:t xml:space="preserve"> de la </w:t>
      </w:r>
      <w:r w:rsidR="00420FBE">
        <w:rPr>
          <w:rFonts w:ascii="Century Gothic" w:hAnsi="Century Gothic"/>
          <w:sz w:val="28"/>
          <w:lang w:val="es-ES"/>
        </w:rPr>
        <w:lastRenderedPageBreak/>
        <w:t>Constitución Política Federal y que incidan en el proceso electoral;</w:t>
      </w:r>
    </w:p>
    <w:p w:rsidR="00420FBE" w:rsidRDefault="00420FBE" w:rsidP="00420FBE">
      <w:pPr>
        <w:pStyle w:val="Prrafodelista"/>
        <w:tabs>
          <w:tab w:val="left" w:pos="1134"/>
        </w:tabs>
        <w:spacing w:after="0" w:line="360" w:lineRule="auto"/>
        <w:ind w:left="567"/>
        <w:jc w:val="both"/>
        <w:rPr>
          <w:rFonts w:ascii="Century Gothic" w:hAnsi="Century Gothic"/>
          <w:sz w:val="28"/>
          <w:lang w:val="es-ES"/>
        </w:rPr>
      </w:pPr>
    </w:p>
    <w:p w:rsidR="00420FBE" w:rsidRDefault="00420FBE" w:rsidP="002F0774">
      <w:pPr>
        <w:pStyle w:val="Prrafodelista"/>
        <w:numPr>
          <w:ilvl w:val="0"/>
          <w:numId w:val="6"/>
        </w:numPr>
        <w:tabs>
          <w:tab w:val="left" w:pos="1134"/>
        </w:tabs>
        <w:spacing w:after="0" w:line="360" w:lineRule="auto"/>
        <w:ind w:left="567" w:firstLine="0"/>
        <w:jc w:val="both"/>
        <w:rPr>
          <w:rFonts w:ascii="Century Gothic" w:hAnsi="Century Gothic"/>
          <w:sz w:val="28"/>
          <w:lang w:val="es-ES"/>
        </w:rPr>
      </w:pPr>
      <w:r>
        <w:rPr>
          <w:rFonts w:ascii="Century Gothic" w:hAnsi="Century Gothic"/>
          <w:sz w:val="28"/>
          <w:lang w:val="es-ES"/>
        </w:rPr>
        <w:t>Contravengan las normas sobre propaganda político o electoral, o</w:t>
      </w:r>
    </w:p>
    <w:p w:rsidR="00420FBE" w:rsidRPr="00420FBE" w:rsidRDefault="00420FBE" w:rsidP="00420FBE">
      <w:pPr>
        <w:pStyle w:val="Prrafodelista"/>
        <w:rPr>
          <w:rFonts w:ascii="Century Gothic" w:hAnsi="Century Gothic"/>
          <w:sz w:val="28"/>
          <w:lang w:val="es-ES"/>
        </w:rPr>
      </w:pPr>
    </w:p>
    <w:p w:rsidR="00420FBE" w:rsidRDefault="00420FBE" w:rsidP="002F0774">
      <w:pPr>
        <w:pStyle w:val="Prrafodelista"/>
        <w:numPr>
          <w:ilvl w:val="0"/>
          <w:numId w:val="6"/>
        </w:numPr>
        <w:tabs>
          <w:tab w:val="left" w:pos="1134"/>
        </w:tabs>
        <w:spacing w:after="0" w:line="360" w:lineRule="auto"/>
        <w:ind w:left="567" w:firstLine="0"/>
        <w:jc w:val="both"/>
        <w:rPr>
          <w:rFonts w:ascii="Century Gothic" w:hAnsi="Century Gothic"/>
          <w:sz w:val="28"/>
          <w:lang w:val="es-ES"/>
        </w:rPr>
      </w:pPr>
      <w:r>
        <w:rPr>
          <w:rFonts w:ascii="Century Gothic" w:hAnsi="Century Gothic"/>
          <w:sz w:val="28"/>
          <w:lang w:val="es-ES"/>
        </w:rPr>
        <w:t>Constituyan actos anticipados de precampaña o campaña.</w:t>
      </w:r>
    </w:p>
    <w:p w:rsidR="002F0774" w:rsidRDefault="002F0774" w:rsidP="002F0774">
      <w:pPr>
        <w:pStyle w:val="Prrafodelista"/>
        <w:spacing w:after="0" w:line="360" w:lineRule="auto"/>
        <w:ind w:left="567"/>
        <w:jc w:val="both"/>
        <w:rPr>
          <w:rFonts w:ascii="Century Gothic" w:hAnsi="Century Gothic"/>
          <w:sz w:val="28"/>
          <w:lang w:val="es-ES"/>
        </w:rPr>
      </w:pPr>
    </w:p>
    <w:p w:rsidR="00390098" w:rsidRDefault="00390098" w:rsidP="00390098">
      <w:pPr>
        <w:tabs>
          <w:tab w:val="left" w:pos="1134"/>
        </w:tabs>
        <w:spacing w:after="0" w:line="360" w:lineRule="auto"/>
        <w:ind w:left="567"/>
        <w:jc w:val="both"/>
        <w:rPr>
          <w:rFonts w:ascii="Century Gothic" w:hAnsi="Century Gothic" w:cs="Tahoma"/>
          <w:sz w:val="28"/>
          <w:szCs w:val="28"/>
        </w:rPr>
      </w:pPr>
      <w:r w:rsidRPr="00390098">
        <w:rPr>
          <w:rFonts w:ascii="Century Gothic" w:hAnsi="Century Gothic" w:cs="Tahoma"/>
          <w:sz w:val="28"/>
          <w:szCs w:val="28"/>
        </w:rPr>
        <w:t>El marco normativo que rige los actos anticipados de campaña es de carácter constitucional, legal y reglamentario, a su vez es federal y local. Desde hace algún tiempo nuestra legislación federal y local han llevado a cabo esfuerzo para regularlos con el propósito de garantizar la seguridad jurídica y la equidad en los procesos electorales frente aquellos actos ilegales de los ciudadanos, aspirantes, precandidatos, candidatos y partidos políticos que pudieran afectar los resultados de una elección.</w:t>
      </w:r>
    </w:p>
    <w:p w:rsidR="00390098" w:rsidRDefault="00390098" w:rsidP="00390098">
      <w:pPr>
        <w:tabs>
          <w:tab w:val="left" w:pos="1134"/>
        </w:tabs>
        <w:spacing w:after="0" w:line="360" w:lineRule="auto"/>
        <w:ind w:left="567"/>
        <w:jc w:val="both"/>
        <w:rPr>
          <w:rFonts w:ascii="Century Gothic" w:hAnsi="Century Gothic" w:cs="Tahoma"/>
          <w:sz w:val="28"/>
          <w:szCs w:val="28"/>
        </w:rPr>
      </w:pPr>
    </w:p>
    <w:p w:rsidR="00390098" w:rsidRDefault="00390098" w:rsidP="00390098">
      <w:pPr>
        <w:tabs>
          <w:tab w:val="left" w:pos="1134"/>
        </w:tabs>
        <w:spacing w:after="0" w:line="360" w:lineRule="auto"/>
        <w:ind w:left="567"/>
        <w:jc w:val="both"/>
        <w:rPr>
          <w:rFonts w:ascii="Century Gothic" w:hAnsi="Century Gothic" w:cs="Tahoma"/>
          <w:sz w:val="28"/>
          <w:szCs w:val="28"/>
        </w:rPr>
      </w:pPr>
      <w:r w:rsidRPr="00390098">
        <w:rPr>
          <w:rFonts w:ascii="Century Gothic" w:hAnsi="Century Gothic" w:cs="Tahoma"/>
          <w:sz w:val="28"/>
          <w:szCs w:val="28"/>
        </w:rPr>
        <w:t>Los actos anticipados de campaña tienen lugar en la etapa preparatoria de la elección, específicamente antes y durante la precampaña electoral y hasta antes del inicio de las campañas electorales. De ahí que la evolución de las normas que rigen estos actos estén íntimamente vinculados con aquellas que rigen las precampañas, pues es en esta etapa donde se inicia formalmente la difusión de los aspirantes con fines electorales. Uno de los objetivos importantes que refiere a la regulación que nos ocupa, es evitar y sancionar una difusión ilegal de la imagen que otorgue una posición de ventaja indebida dentro de la contienda electoral.</w:t>
      </w:r>
    </w:p>
    <w:p w:rsidR="00390098" w:rsidRDefault="00390098" w:rsidP="00390098">
      <w:pPr>
        <w:tabs>
          <w:tab w:val="left" w:pos="1134"/>
        </w:tabs>
        <w:spacing w:after="0" w:line="360" w:lineRule="auto"/>
        <w:ind w:left="567"/>
        <w:jc w:val="both"/>
        <w:rPr>
          <w:rFonts w:ascii="Century Gothic" w:hAnsi="Century Gothic" w:cs="Tahoma"/>
          <w:sz w:val="28"/>
          <w:szCs w:val="28"/>
        </w:rPr>
      </w:pPr>
    </w:p>
    <w:p w:rsidR="00390098" w:rsidRDefault="00390098" w:rsidP="00390098">
      <w:pPr>
        <w:tabs>
          <w:tab w:val="left" w:pos="1134"/>
        </w:tabs>
        <w:spacing w:after="0" w:line="360" w:lineRule="auto"/>
        <w:ind w:left="567"/>
        <w:jc w:val="both"/>
        <w:rPr>
          <w:rFonts w:ascii="Century Gothic" w:hAnsi="Century Gothic" w:cs="Tahoma"/>
          <w:sz w:val="28"/>
          <w:szCs w:val="28"/>
        </w:rPr>
      </w:pPr>
      <w:r w:rsidRPr="00390098">
        <w:rPr>
          <w:rFonts w:ascii="Century Gothic" w:hAnsi="Century Gothic" w:cs="Tahoma"/>
          <w:sz w:val="28"/>
          <w:szCs w:val="28"/>
        </w:rPr>
        <w:t>El</w:t>
      </w:r>
      <w:r>
        <w:rPr>
          <w:rFonts w:ascii="Century Gothic" w:hAnsi="Century Gothic" w:cs="Tahoma"/>
          <w:sz w:val="28"/>
          <w:szCs w:val="28"/>
        </w:rPr>
        <w:t xml:space="preserve"> </w:t>
      </w:r>
      <w:r w:rsidRPr="00390098">
        <w:rPr>
          <w:rFonts w:ascii="Century Gothic" w:hAnsi="Century Gothic" w:cs="Tahoma"/>
          <w:sz w:val="28"/>
          <w:szCs w:val="28"/>
        </w:rPr>
        <w:t>artículo 116, fracción IV, inciso j), de la Constitución Federal advierte que de conformidad con las bases establecidas en esta misma Constitución y las leyes generales en la materia, las Constituciones y leyes de los Estados en materia electoral, garantizarán que se fijen las reglas para las precampañas y las campañas electorales de los partidos políticos, así como las sanciones para quienes las infrinjan.</w:t>
      </w:r>
    </w:p>
    <w:p w:rsidR="00390098" w:rsidRDefault="00390098" w:rsidP="00390098">
      <w:pPr>
        <w:tabs>
          <w:tab w:val="left" w:pos="1134"/>
        </w:tabs>
        <w:spacing w:after="0" w:line="360" w:lineRule="auto"/>
        <w:ind w:left="567"/>
        <w:jc w:val="both"/>
        <w:rPr>
          <w:rFonts w:ascii="Century Gothic" w:hAnsi="Century Gothic" w:cs="Tahoma"/>
          <w:sz w:val="28"/>
          <w:szCs w:val="28"/>
        </w:rPr>
      </w:pPr>
    </w:p>
    <w:p w:rsidR="00390098" w:rsidRDefault="00390098" w:rsidP="00390098">
      <w:pPr>
        <w:tabs>
          <w:tab w:val="left" w:pos="1134"/>
        </w:tabs>
        <w:spacing w:after="0" w:line="360" w:lineRule="auto"/>
        <w:ind w:left="567"/>
        <w:jc w:val="both"/>
        <w:rPr>
          <w:rFonts w:ascii="Century Gothic" w:hAnsi="Century Gothic" w:cs="Tahoma"/>
          <w:sz w:val="28"/>
          <w:szCs w:val="28"/>
        </w:rPr>
      </w:pPr>
      <w:r w:rsidRPr="00390098">
        <w:rPr>
          <w:rFonts w:ascii="Century Gothic" w:hAnsi="Century Gothic" w:cs="Tahoma"/>
          <w:sz w:val="28"/>
          <w:szCs w:val="28"/>
        </w:rPr>
        <w:t>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390098" w:rsidRDefault="00390098" w:rsidP="00390098">
      <w:pPr>
        <w:tabs>
          <w:tab w:val="left" w:pos="1134"/>
        </w:tabs>
        <w:spacing w:after="0" w:line="360" w:lineRule="auto"/>
        <w:ind w:left="567"/>
        <w:jc w:val="both"/>
        <w:rPr>
          <w:rFonts w:ascii="Century Gothic" w:hAnsi="Century Gothic" w:cs="Tahoma"/>
          <w:sz w:val="28"/>
          <w:szCs w:val="28"/>
        </w:rPr>
      </w:pPr>
    </w:p>
    <w:p w:rsidR="00390098" w:rsidRDefault="00390098" w:rsidP="00390098">
      <w:pPr>
        <w:tabs>
          <w:tab w:val="left" w:pos="1134"/>
        </w:tabs>
        <w:spacing w:after="0" w:line="360" w:lineRule="auto"/>
        <w:ind w:left="567"/>
        <w:jc w:val="both"/>
        <w:rPr>
          <w:rFonts w:ascii="Century Gothic" w:hAnsi="Century Gothic" w:cs="Tahoma"/>
          <w:sz w:val="28"/>
          <w:szCs w:val="28"/>
        </w:rPr>
      </w:pPr>
      <w:r w:rsidRPr="00390098">
        <w:rPr>
          <w:rFonts w:ascii="Century Gothic" w:hAnsi="Century Gothic" w:cs="Tahoma"/>
          <w:sz w:val="28"/>
          <w:szCs w:val="28"/>
        </w:rPr>
        <w:t>Por su parte, el artículo 5, párrafo segundo de la Constitución Política del Estado de Baja California, señala que la duración de las campañas será de sesenta a noventa días para la elección de gobernador, y de treinta a sesenta días cuando sólo se elijan diputados o ayuntamientos; las precampañas no podrán durar más de las dos terceras partes de las respectivas campañas electorales.</w:t>
      </w:r>
    </w:p>
    <w:p w:rsidR="00390098" w:rsidRDefault="00390098" w:rsidP="00390098">
      <w:pPr>
        <w:tabs>
          <w:tab w:val="left" w:pos="1134"/>
        </w:tabs>
        <w:spacing w:after="0" w:line="360" w:lineRule="auto"/>
        <w:ind w:left="567"/>
        <w:jc w:val="both"/>
        <w:rPr>
          <w:rFonts w:ascii="Century Gothic" w:hAnsi="Century Gothic" w:cs="Tahoma"/>
          <w:sz w:val="28"/>
          <w:szCs w:val="28"/>
        </w:rPr>
      </w:pPr>
    </w:p>
    <w:p w:rsidR="00390098" w:rsidRDefault="00390098" w:rsidP="00390098">
      <w:pPr>
        <w:tabs>
          <w:tab w:val="left" w:pos="1134"/>
        </w:tabs>
        <w:spacing w:after="0" w:line="360" w:lineRule="auto"/>
        <w:ind w:left="567"/>
        <w:jc w:val="both"/>
        <w:rPr>
          <w:rFonts w:ascii="Century Gothic" w:hAnsi="Century Gothic" w:cs="Tahoma"/>
          <w:sz w:val="28"/>
          <w:szCs w:val="28"/>
        </w:rPr>
      </w:pPr>
      <w:r w:rsidRPr="00390098">
        <w:rPr>
          <w:rFonts w:ascii="Century Gothic" w:hAnsi="Century Gothic" w:cs="Tahoma"/>
          <w:sz w:val="28"/>
          <w:szCs w:val="28"/>
        </w:rPr>
        <w:t>En la propaganda política o electoral que difundan los partidos políticos deberán abstenerse de expresiones que denigren a las instituciones y a los propios partidos y candidatos deberán abstenerse de expresiones que calumnien a las personas.</w:t>
      </w:r>
    </w:p>
    <w:p w:rsidR="00390098" w:rsidRDefault="00390098" w:rsidP="00390098">
      <w:pPr>
        <w:tabs>
          <w:tab w:val="left" w:pos="1134"/>
        </w:tabs>
        <w:spacing w:after="0" w:line="360" w:lineRule="auto"/>
        <w:ind w:left="567"/>
        <w:jc w:val="both"/>
        <w:rPr>
          <w:rFonts w:ascii="Century Gothic" w:hAnsi="Century Gothic" w:cs="Tahoma"/>
          <w:sz w:val="28"/>
          <w:szCs w:val="28"/>
        </w:rPr>
      </w:pPr>
    </w:p>
    <w:p w:rsidR="00390098" w:rsidRPr="00390098" w:rsidRDefault="00390098" w:rsidP="00390098">
      <w:pPr>
        <w:tabs>
          <w:tab w:val="left" w:pos="1134"/>
        </w:tabs>
        <w:spacing w:after="0" w:line="360" w:lineRule="auto"/>
        <w:ind w:left="567"/>
        <w:jc w:val="both"/>
        <w:rPr>
          <w:rFonts w:ascii="Century Gothic" w:hAnsi="Century Gothic" w:cs="Tahoma"/>
          <w:sz w:val="28"/>
          <w:szCs w:val="28"/>
        </w:rPr>
      </w:pPr>
      <w:r w:rsidRPr="00390098">
        <w:rPr>
          <w:rFonts w:ascii="Century Gothic" w:hAnsi="Century Gothic" w:cs="Tahoma"/>
          <w:sz w:val="28"/>
          <w:szCs w:val="28"/>
        </w:rPr>
        <w:t>Por último, la Ley Electoral del Estado de Baja California en su artículo 123, fracción II, se establece que queda prohibido a los precandidatos el realizar actos de precampaña electoral antes de la expedición de la constancia de registro correspondiente u obtener recursos, cualquiera que sea su origen, antes de que aquella inicie.</w:t>
      </w:r>
    </w:p>
    <w:p w:rsidR="00390098" w:rsidRDefault="00390098" w:rsidP="002F0774">
      <w:pPr>
        <w:pStyle w:val="Prrafodelista"/>
        <w:spacing w:after="0" w:line="360" w:lineRule="auto"/>
        <w:ind w:left="567"/>
        <w:jc w:val="both"/>
        <w:rPr>
          <w:rFonts w:ascii="Century Gothic" w:hAnsi="Century Gothic"/>
          <w:sz w:val="28"/>
          <w:lang w:val="es-ES"/>
        </w:rPr>
      </w:pPr>
    </w:p>
    <w:p w:rsidR="002F0774" w:rsidRDefault="00390098" w:rsidP="002F0774">
      <w:pPr>
        <w:pStyle w:val="Prrafodelista"/>
        <w:spacing w:after="0" w:line="360" w:lineRule="auto"/>
        <w:ind w:left="567"/>
        <w:jc w:val="both"/>
        <w:rPr>
          <w:rFonts w:ascii="Century Gothic" w:hAnsi="Century Gothic"/>
          <w:sz w:val="28"/>
          <w:lang w:val="es-ES"/>
        </w:rPr>
      </w:pPr>
      <w:r>
        <w:rPr>
          <w:rFonts w:ascii="Century Gothic" w:hAnsi="Century Gothic"/>
          <w:sz w:val="28"/>
          <w:lang w:val="es-ES"/>
        </w:rPr>
        <w:t>En ese tenor, d</w:t>
      </w:r>
      <w:r w:rsidR="002F0774">
        <w:rPr>
          <w:rFonts w:ascii="Century Gothic" w:hAnsi="Century Gothic"/>
          <w:sz w:val="28"/>
          <w:lang w:val="es-ES"/>
        </w:rPr>
        <w:t xml:space="preserve">urante este período </w:t>
      </w:r>
      <w:r>
        <w:rPr>
          <w:rFonts w:ascii="Century Gothic" w:hAnsi="Century Gothic"/>
          <w:sz w:val="28"/>
          <w:lang w:val="es-ES"/>
        </w:rPr>
        <w:t xml:space="preserve">(comprendido del 03 de noviembre al 31 de diciembre de 2015) </w:t>
      </w:r>
      <w:r w:rsidR="002F0774">
        <w:rPr>
          <w:rFonts w:ascii="Century Gothic" w:hAnsi="Century Gothic"/>
          <w:sz w:val="28"/>
          <w:lang w:val="es-ES"/>
        </w:rPr>
        <w:t>solo se recibió UNA queja o denuncia, misma que procedo a brindar un resumen ejecutivo.</w:t>
      </w:r>
    </w:p>
    <w:p w:rsidR="008D34F4" w:rsidRDefault="008D34F4" w:rsidP="002F0774">
      <w:pPr>
        <w:pStyle w:val="Prrafodelista"/>
        <w:spacing w:after="0" w:line="360" w:lineRule="auto"/>
        <w:ind w:left="567"/>
        <w:jc w:val="both"/>
        <w:rPr>
          <w:rFonts w:ascii="Century Gothic" w:hAnsi="Century Gothic"/>
          <w:sz w:val="28"/>
          <w:lang w:val="es-ES"/>
        </w:rPr>
      </w:pPr>
    </w:p>
    <w:p w:rsidR="008D34F4" w:rsidRPr="008D34F4" w:rsidRDefault="008D34F4" w:rsidP="008D34F4">
      <w:pPr>
        <w:pStyle w:val="Prrafodelista"/>
        <w:numPr>
          <w:ilvl w:val="1"/>
          <w:numId w:val="1"/>
        </w:numPr>
        <w:tabs>
          <w:tab w:val="left" w:pos="1134"/>
        </w:tabs>
        <w:spacing w:after="0" w:line="360" w:lineRule="auto"/>
        <w:ind w:left="567" w:firstLine="0"/>
        <w:jc w:val="both"/>
        <w:rPr>
          <w:rFonts w:ascii="Century Gothic" w:hAnsi="Century Gothic" w:cs="Tahoma"/>
          <w:sz w:val="28"/>
          <w:szCs w:val="28"/>
        </w:rPr>
      </w:pPr>
      <w:r w:rsidRPr="008D34F4">
        <w:rPr>
          <w:rFonts w:ascii="Century Gothic" w:hAnsi="Century Gothic" w:cs="Tahoma"/>
          <w:sz w:val="28"/>
          <w:szCs w:val="28"/>
        </w:rPr>
        <w:t>A las 16:58 horas del día ocho de diciembre de</w:t>
      </w:r>
      <w:r>
        <w:rPr>
          <w:rFonts w:ascii="Century Gothic" w:hAnsi="Century Gothic" w:cs="Tahoma"/>
          <w:sz w:val="28"/>
          <w:szCs w:val="28"/>
        </w:rPr>
        <w:t xml:space="preserve"> 2015</w:t>
      </w:r>
      <w:r w:rsidRPr="008D34F4">
        <w:rPr>
          <w:rFonts w:ascii="Century Gothic" w:hAnsi="Century Gothic" w:cs="Tahoma"/>
          <w:sz w:val="28"/>
          <w:szCs w:val="28"/>
        </w:rPr>
        <w:t xml:space="preserve"> </w:t>
      </w:r>
      <w:r>
        <w:rPr>
          <w:rFonts w:ascii="Century Gothic" w:hAnsi="Century Gothic" w:cs="Tahoma"/>
          <w:sz w:val="28"/>
          <w:szCs w:val="28"/>
        </w:rPr>
        <w:t xml:space="preserve">se </w:t>
      </w:r>
      <w:r w:rsidRPr="008D34F4">
        <w:rPr>
          <w:rFonts w:ascii="Century Gothic" w:hAnsi="Century Gothic" w:cs="Tahoma"/>
          <w:sz w:val="28"/>
          <w:szCs w:val="28"/>
        </w:rPr>
        <w:t xml:space="preserve">recibió el oficio número CGE/1980/2015, signado por el C.P. Javier Garay Sánchez, Consejero Presidente del Consejo General del Instituto Estatal </w:t>
      </w:r>
      <w:r>
        <w:rPr>
          <w:rFonts w:ascii="Century Gothic" w:hAnsi="Century Gothic" w:cs="Tahoma"/>
          <w:sz w:val="28"/>
          <w:szCs w:val="28"/>
        </w:rPr>
        <w:t>Electoral</w:t>
      </w:r>
      <w:r w:rsidRPr="008D34F4">
        <w:rPr>
          <w:rFonts w:ascii="Century Gothic" w:hAnsi="Century Gothic" w:cs="Tahoma"/>
          <w:sz w:val="28"/>
          <w:szCs w:val="28"/>
        </w:rPr>
        <w:t>, mediante el cual remite el escrito de denuncia y anexos.</w:t>
      </w:r>
    </w:p>
    <w:p w:rsidR="008D34F4" w:rsidRPr="008D34F4" w:rsidRDefault="008D34F4" w:rsidP="008D34F4">
      <w:pPr>
        <w:pStyle w:val="Prrafodelista"/>
        <w:spacing w:after="0" w:line="360" w:lineRule="auto"/>
        <w:ind w:left="1134" w:right="50"/>
        <w:contextualSpacing w:val="0"/>
        <w:jc w:val="both"/>
        <w:rPr>
          <w:rFonts w:ascii="Century Gothic" w:hAnsi="Century Gothic" w:cs="Tahoma"/>
          <w:sz w:val="28"/>
          <w:szCs w:val="28"/>
        </w:rPr>
      </w:pPr>
    </w:p>
    <w:p w:rsidR="008D34F4" w:rsidRDefault="008D34F4" w:rsidP="008D34F4">
      <w:pPr>
        <w:pStyle w:val="Prrafodelista"/>
        <w:numPr>
          <w:ilvl w:val="1"/>
          <w:numId w:val="1"/>
        </w:numPr>
        <w:tabs>
          <w:tab w:val="left" w:pos="1134"/>
        </w:tabs>
        <w:spacing w:after="0" w:line="360" w:lineRule="auto"/>
        <w:ind w:left="567" w:firstLine="0"/>
        <w:jc w:val="both"/>
        <w:rPr>
          <w:rFonts w:ascii="Century Gothic" w:hAnsi="Century Gothic" w:cs="Tahoma"/>
          <w:sz w:val="28"/>
          <w:szCs w:val="28"/>
        </w:rPr>
      </w:pPr>
      <w:r>
        <w:rPr>
          <w:rFonts w:ascii="Century Gothic" w:hAnsi="Century Gothic" w:cs="Tahoma"/>
          <w:sz w:val="28"/>
          <w:szCs w:val="28"/>
        </w:rPr>
        <w:t>El nueve de diciembre de 2015</w:t>
      </w:r>
      <w:r w:rsidRPr="008D34F4">
        <w:rPr>
          <w:rFonts w:ascii="Century Gothic" w:hAnsi="Century Gothic" w:cs="Tahoma"/>
          <w:sz w:val="28"/>
          <w:szCs w:val="28"/>
        </w:rPr>
        <w:t xml:space="preserve"> la Unidad Técnica de lo Contencioso Electoral emitió el acuerdo de admisión, asignándole la clave de expediente IEEBC/UTCE/PES/01/2015.</w:t>
      </w:r>
    </w:p>
    <w:p w:rsidR="008D34F4" w:rsidRPr="008D34F4" w:rsidRDefault="008D34F4" w:rsidP="008D34F4">
      <w:pPr>
        <w:pStyle w:val="Prrafodelista"/>
        <w:rPr>
          <w:rFonts w:ascii="Century Gothic" w:hAnsi="Century Gothic" w:cs="Arial"/>
          <w:sz w:val="28"/>
          <w:szCs w:val="28"/>
        </w:rPr>
      </w:pPr>
    </w:p>
    <w:p w:rsidR="008D34F4" w:rsidRPr="008D34F4" w:rsidRDefault="008D34F4" w:rsidP="008D34F4">
      <w:pPr>
        <w:pStyle w:val="Prrafodelista"/>
        <w:numPr>
          <w:ilvl w:val="1"/>
          <w:numId w:val="1"/>
        </w:numPr>
        <w:tabs>
          <w:tab w:val="left" w:pos="1134"/>
        </w:tabs>
        <w:spacing w:after="0" w:line="360" w:lineRule="auto"/>
        <w:ind w:left="567" w:firstLine="0"/>
        <w:jc w:val="both"/>
        <w:rPr>
          <w:rFonts w:ascii="Century Gothic" w:hAnsi="Century Gothic" w:cs="Tahoma"/>
          <w:sz w:val="28"/>
          <w:szCs w:val="28"/>
        </w:rPr>
      </w:pPr>
      <w:r w:rsidRPr="008D34F4">
        <w:rPr>
          <w:rFonts w:ascii="Century Gothic" w:hAnsi="Century Gothic" w:cs="Arial"/>
          <w:sz w:val="28"/>
          <w:szCs w:val="28"/>
        </w:rPr>
        <w:t xml:space="preserve">El catorce de diciembre de </w:t>
      </w:r>
      <w:r>
        <w:rPr>
          <w:rFonts w:ascii="Century Gothic" w:hAnsi="Century Gothic" w:cs="Arial"/>
          <w:sz w:val="28"/>
          <w:szCs w:val="28"/>
        </w:rPr>
        <w:t>2015</w:t>
      </w:r>
      <w:r w:rsidRPr="008D34F4">
        <w:rPr>
          <w:rFonts w:ascii="Century Gothic" w:hAnsi="Century Gothic"/>
          <w:sz w:val="28"/>
          <w:lang w:val="es-ES"/>
        </w:rPr>
        <w:t xml:space="preserve"> tuvo verificativo la audiencia de pruebas y alegatos prevista por el artículo 378 de la Ley Electoral del Estado de Baja California.</w:t>
      </w:r>
    </w:p>
    <w:p w:rsidR="008D34F4" w:rsidRPr="008D34F4" w:rsidRDefault="008D34F4" w:rsidP="008D34F4">
      <w:pPr>
        <w:pStyle w:val="Prrafodelista"/>
        <w:rPr>
          <w:rFonts w:ascii="Century Gothic" w:hAnsi="Century Gothic" w:cs="Arial"/>
          <w:sz w:val="28"/>
          <w:szCs w:val="28"/>
        </w:rPr>
      </w:pPr>
    </w:p>
    <w:p w:rsidR="008D34F4" w:rsidRPr="008D34F4" w:rsidRDefault="008D34F4" w:rsidP="008D34F4">
      <w:pPr>
        <w:pStyle w:val="Prrafodelista"/>
        <w:numPr>
          <w:ilvl w:val="1"/>
          <w:numId w:val="1"/>
        </w:numPr>
        <w:tabs>
          <w:tab w:val="left" w:pos="1134"/>
        </w:tabs>
        <w:spacing w:after="0" w:line="360" w:lineRule="auto"/>
        <w:ind w:left="567" w:firstLine="0"/>
        <w:jc w:val="both"/>
        <w:rPr>
          <w:rFonts w:ascii="Century Gothic" w:hAnsi="Century Gothic" w:cs="Tahoma"/>
          <w:sz w:val="28"/>
          <w:szCs w:val="28"/>
        </w:rPr>
      </w:pPr>
      <w:r w:rsidRPr="008D34F4">
        <w:rPr>
          <w:rFonts w:ascii="Century Gothic" w:hAnsi="Century Gothic" w:cs="Arial"/>
          <w:sz w:val="28"/>
          <w:szCs w:val="28"/>
        </w:rPr>
        <w:t>A las 21:10 horas del día catorce de diciembre de 2015 la Unidad de lo Contencioso emitió el acuerdo de cierre de instrucción y ordenando turnar el expediente junto con el informe circunstanciado al Tribunal de Justicia Electoral del Estado de Baja California, en términos de los artículos 379 y 380 de la Ley Electoral del Estado de Baja California.</w:t>
      </w:r>
    </w:p>
    <w:p w:rsidR="008D34F4" w:rsidRPr="008D34F4" w:rsidRDefault="008D34F4" w:rsidP="008D34F4">
      <w:pPr>
        <w:pStyle w:val="Prrafodelista"/>
        <w:rPr>
          <w:rFonts w:ascii="Century Gothic" w:hAnsi="Century Gothic" w:cs="Tahoma"/>
          <w:sz w:val="28"/>
          <w:szCs w:val="28"/>
        </w:rPr>
      </w:pPr>
    </w:p>
    <w:p w:rsidR="008D34F4" w:rsidRPr="008D34F4" w:rsidRDefault="008D34F4" w:rsidP="008D34F4">
      <w:pPr>
        <w:pStyle w:val="Prrafodelista"/>
        <w:numPr>
          <w:ilvl w:val="1"/>
          <w:numId w:val="1"/>
        </w:numPr>
        <w:tabs>
          <w:tab w:val="left" w:pos="1134"/>
        </w:tabs>
        <w:spacing w:after="0" w:line="360" w:lineRule="auto"/>
        <w:ind w:left="567" w:firstLine="0"/>
        <w:jc w:val="both"/>
        <w:rPr>
          <w:rFonts w:ascii="Century Gothic" w:hAnsi="Century Gothic" w:cs="Tahoma"/>
          <w:sz w:val="28"/>
          <w:szCs w:val="28"/>
        </w:rPr>
      </w:pPr>
      <w:r w:rsidRPr="008D34F4">
        <w:rPr>
          <w:rFonts w:ascii="Century Gothic" w:hAnsi="Century Gothic" w:cs="Arial"/>
          <w:sz w:val="28"/>
          <w:szCs w:val="28"/>
        </w:rPr>
        <w:t xml:space="preserve">El </w:t>
      </w:r>
      <w:r>
        <w:rPr>
          <w:rFonts w:ascii="Century Gothic" w:hAnsi="Century Gothic" w:cs="Arial"/>
          <w:sz w:val="28"/>
          <w:szCs w:val="28"/>
        </w:rPr>
        <w:t xml:space="preserve">dieciocho </w:t>
      </w:r>
      <w:r w:rsidRPr="008D34F4">
        <w:rPr>
          <w:rFonts w:ascii="Century Gothic" w:hAnsi="Century Gothic" w:cs="Arial"/>
          <w:sz w:val="28"/>
          <w:szCs w:val="28"/>
        </w:rPr>
        <w:t>de diciembre de 2015 se recibió el oficio numero TJE-138/2015, signado por el Magistrado Presidente del Tribunal de Justicia Electoral del Estado de Baja California, C. Martin Ríos Garay, mediante el cual remite el auto donde se ordena reponer el procedimiento.</w:t>
      </w:r>
    </w:p>
    <w:p w:rsidR="008D34F4" w:rsidRPr="008D34F4" w:rsidRDefault="008D34F4" w:rsidP="008D34F4">
      <w:pPr>
        <w:pStyle w:val="Prrafodelista"/>
        <w:rPr>
          <w:rFonts w:ascii="Century Gothic" w:hAnsi="Century Gothic" w:cs="Arial"/>
          <w:sz w:val="28"/>
          <w:szCs w:val="28"/>
        </w:rPr>
      </w:pPr>
    </w:p>
    <w:p w:rsidR="008D34F4" w:rsidRPr="008D34F4" w:rsidRDefault="008D34F4" w:rsidP="008D34F4">
      <w:pPr>
        <w:pStyle w:val="Prrafodelista"/>
        <w:numPr>
          <w:ilvl w:val="1"/>
          <w:numId w:val="1"/>
        </w:numPr>
        <w:tabs>
          <w:tab w:val="left" w:pos="1134"/>
        </w:tabs>
        <w:spacing w:after="0" w:line="360" w:lineRule="auto"/>
        <w:ind w:left="567" w:firstLine="0"/>
        <w:jc w:val="both"/>
        <w:rPr>
          <w:rFonts w:ascii="Century Gothic" w:hAnsi="Century Gothic" w:cs="Tahoma"/>
          <w:sz w:val="28"/>
          <w:szCs w:val="28"/>
        </w:rPr>
      </w:pPr>
      <w:r>
        <w:rPr>
          <w:rFonts w:ascii="Century Gothic" w:hAnsi="Century Gothic" w:cs="Arial"/>
          <w:sz w:val="28"/>
          <w:szCs w:val="28"/>
        </w:rPr>
        <w:t>Ese mismo día se</w:t>
      </w:r>
      <w:r w:rsidRPr="008D34F4">
        <w:rPr>
          <w:rFonts w:ascii="Century Gothic" w:hAnsi="Century Gothic" w:cs="Arial"/>
          <w:sz w:val="28"/>
          <w:szCs w:val="28"/>
        </w:rPr>
        <w:t xml:space="preserve"> emitió el acuerdo de radicación en donde se ordenó practicar la diligencia de inspección ocular de la totalidad de los domicilios cuyos hechos se denuncian. </w:t>
      </w:r>
    </w:p>
    <w:p w:rsidR="008D34F4" w:rsidRPr="008D34F4" w:rsidRDefault="008D34F4" w:rsidP="008D34F4">
      <w:pPr>
        <w:pStyle w:val="Prrafodelista"/>
        <w:rPr>
          <w:rFonts w:ascii="Century Gothic" w:hAnsi="Century Gothic" w:cs="Arial"/>
          <w:sz w:val="28"/>
          <w:szCs w:val="28"/>
        </w:rPr>
      </w:pPr>
    </w:p>
    <w:p w:rsidR="008D34F4" w:rsidRPr="008D34F4" w:rsidRDefault="008D34F4" w:rsidP="008D34F4">
      <w:pPr>
        <w:pStyle w:val="Prrafodelista"/>
        <w:numPr>
          <w:ilvl w:val="1"/>
          <w:numId w:val="1"/>
        </w:numPr>
        <w:tabs>
          <w:tab w:val="left" w:pos="1134"/>
        </w:tabs>
        <w:spacing w:after="0" w:line="360" w:lineRule="auto"/>
        <w:ind w:left="567" w:firstLine="0"/>
        <w:jc w:val="both"/>
        <w:rPr>
          <w:rFonts w:ascii="Century Gothic" w:hAnsi="Century Gothic" w:cs="Tahoma"/>
          <w:sz w:val="28"/>
          <w:szCs w:val="28"/>
        </w:rPr>
      </w:pPr>
      <w:r w:rsidRPr="008D34F4">
        <w:rPr>
          <w:rFonts w:ascii="Century Gothic" w:hAnsi="Century Gothic" w:cs="Arial"/>
          <w:sz w:val="28"/>
          <w:szCs w:val="28"/>
        </w:rPr>
        <w:t>El día diecinueve de diciembre de 2015 tuvo verificativo la diligencia de inspección ocular, haciéndolo constar en el acta circunstanciada CIRC01/IEEBC/OFICIALIA/19-12-2015.</w:t>
      </w:r>
    </w:p>
    <w:p w:rsidR="008D34F4" w:rsidRPr="008D34F4" w:rsidRDefault="008D34F4" w:rsidP="008D34F4">
      <w:pPr>
        <w:pStyle w:val="Prrafodelista"/>
        <w:rPr>
          <w:rFonts w:ascii="Century Gothic" w:hAnsi="Century Gothic" w:cs="Arial"/>
          <w:sz w:val="28"/>
          <w:szCs w:val="28"/>
        </w:rPr>
      </w:pPr>
    </w:p>
    <w:p w:rsidR="00E029B8" w:rsidRDefault="008D34F4" w:rsidP="00E029B8">
      <w:pPr>
        <w:pStyle w:val="Prrafodelista"/>
        <w:numPr>
          <w:ilvl w:val="1"/>
          <w:numId w:val="1"/>
        </w:numPr>
        <w:tabs>
          <w:tab w:val="left" w:pos="1134"/>
        </w:tabs>
        <w:spacing w:after="0" w:line="360" w:lineRule="auto"/>
        <w:ind w:left="567" w:firstLine="0"/>
        <w:jc w:val="both"/>
        <w:rPr>
          <w:rFonts w:ascii="Century Gothic" w:hAnsi="Century Gothic" w:cs="Arial"/>
          <w:sz w:val="28"/>
          <w:szCs w:val="28"/>
        </w:rPr>
      </w:pPr>
      <w:r w:rsidRPr="008D34F4">
        <w:rPr>
          <w:rFonts w:ascii="Century Gothic" w:hAnsi="Century Gothic" w:cs="Arial"/>
          <w:sz w:val="28"/>
          <w:szCs w:val="28"/>
        </w:rPr>
        <w:t xml:space="preserve"> El veintiuno de diciembre de </w:t>
      </w:r>
      <w:r>
        <w:rPr>
          <w:rFonts w:ascii="Century Gothic" w:hAnsi="Century Gothic" w:cs="Arial"/>
          <w:sz w:val="28"/>
          <w:szCs w:val="28"/>
        </w:rPr>
        <w:t>2015</w:t>
      </w:r>
      <w:r w:rsidRPr="008D34F4">
        <w:rPr>
          <w:rFonts w:ascii="Century Gothic" w:hAnsi="Century Gothic" w:cs="Arial"/>
          <w:sz w:val="28"/>
          <w:szCs w:val="28"/>
        </w:rPr>
        <w:t xml:space="preserve"> la Unidad de lo Contencioso emitió el acuerdo de </w:t>
      </w:r>
      <w:r>
        <w:rPr>
          <w:rFonts w:ascii="Century Gothic" w:hAnsi="Century Gothic" w:cs="Arial"/>
          <w:sz w:val="28"/>
          <w:szCs w:val="28"/>
        </w:rPr>
        <w:t>a</w:t>
      </w:r>
      <w:r w:rsidRPr="008D34F4">
        <w:rPr>
          <w:rFonts w:ascii="Century Gothic" w:hAnsi="Century Gothic" w:cs="Arial"/>
          <w:sz w:val="28"/>
          <w:szCs w:val="28"/>
        </w:rPr>
        <w:t xml:space="preserve">dmisión de la denuncia </w:t>
      </w:r>
      <w:r w:rsidRPr="008D34F4">
        <w:rPr>
          <w:rFonts w:ascii="Century Gothic" w:hAnsi="Century Gothic"/>
          <w:sz w:val="28"/>
          <w:lang w:val="es-ES"/>
        </w:rPr>
        <w:t>en términos de los artículos 374 y 376 de la Ley Electora</w:t>
      </w:r>
      <w:r w:rsidR="00E029B8">
        <w:rPr>
          <w:rFonts w:ascii="Century Gothic" w:hAnsi="Century Gothic"/>
          <w:sz w:val="28"/>
          <w:lang w:val="es-ES"/>
        </w:rPr>
        <w:t xml:space="preserve">l del Estado de Baja California, haciendo un requerimiento de información a </w:t>
      </w:r>
      <w:r w:rsidRPr="00E029B8">
        <w:rPr>
          <w:rFonts w:ascii="Century Gothic" w:hAnsi="Century Gothic" w:cs="Arial"/>
          <w:sz w:val="28"/>
          <w:szCs w:val="28"/>
        </w:rPr>
        <w:t>la Secretaria de Desarrollo Urbano y Ecología del H. XXI Ayuntamiento de Tijuana</w:t>
      </w:r>
      <w:r w:rsidR="00E029B8">
        <w:rPr>
          <w:rFonts w:ascii="Century Gothic" w:hAnsi="Century Gothic" w:cs="Arial"/>
          <w:sz w:val="28"/>
          <w:szCs w:val="28"/>
        </w:rPr>
        <w:t>.</w:t>
      </w:r>
    </w:p>
    <w:p w:rsidR="00E029B8" w:rsidRPr="00E029B8" w:rsidRDefault="00E029B8" w:rsidP="00E029B8">
      <w:pPr>
        <w:pStyle w:val="Prrafodelista"/>
        <w:rPr>
          <w:rFonts w:ascii="Century Gothic" w:hAnsi="Century Gothic" w:cs="Arial"/>
          <w:sz w:val="28"/>
          <w:szCs w:val="28"/>
        </w:rPr>
      </w:pPr>
    </w:p>
    <w:p w:rsidR="00E029B8" w:rsidRDefault="008D34F4" w:rsidP="00E029B8">
      <w:pPr>
        <w:pStyle w:val="Prrafodelista"/>
        <w:numPr>
          <w:ilvl w:val="1"/>
          <w:numId w:val="1"/>
        </w:numPr>
        <w:tabs>
          <w:tab w:val="left" w:pos="1134"/>
        </w:tabs>
        <w:spacing w:after="0" w:line="360" w:lineRule="auto"/>
        <w:ind w:left="567" w:firstLine="0"/>
        <w:jc w:val="both"/>
        <w:rPr>
          <w:rFonts w:ascii="Century Gothic" w:hAnsi="Century Gothic" w:cs="Arial"/>
          <w:sz w:val="28"/>
          <w:szCs w:val="28"/>
        </w:rPr>
      </w:pPr>
      <w:r w:rsidRPr="00E029B8">
        <w:rPr>
          <w:rFonts w:ascii="Century Gothic" w:hAnsi="Century Gothic" w:cs="Arial"/>
          <w:sz w:val="28"/>
          <w:szCs w:val="28"/>
        </w:rPr>
        <w:t xml:space="preserve">El día veintitrés de diciembre de </w:t>
      </w:r>
      <w:r w:rsidR="00E029B8">
        <w:rPr>
          <w:rFonts w:ascii="Century Gothic" w:hAnsi="Century Gothic" w:cs="Arial"/>
          <w:sz w:val="28"/>
          <w:szCs w:val="28"/>
        </w:rPr>
        <w:t xml:space="preserve">2015 </w:t>
      </w:r>
      <w:r w:rsidRPr="00E029B8">
        <w:rPr>
          <w:rFonts w:ascii="Century Gothic" w:hAnsi="Century Gothic" w:cs="Arial"/>
          <w:sz w:val="28"/>
          <w:szCs w:val="28"/>
        </w:rPr>
        <w:t>se recibió Informe de Autoridad, con numero de oficio SDUE-1693/2015, fecha 22 de diciembre del presente año, signado por el Ingeniero Roberto Sánchez Martínez, Secretario de Desarrollo Urbano y Ecología del H. XXI Ayuntamiento de Tijuana, Baja California</w:t>
      </w:r>
      <w:r w:rsidR="00E029B8">
        <w:rPr>
          <w:rFonts w:ascii="Century Gothic" w:hAnsi="Century Gothic" w:cs="Arial"/>
          <w:sz w:val="28"/>
          <w:szCs w:val="28"/>
        </w:rPr>
        <w:t>.</w:t>
      </w:r>
    </w:p>
    <w:p w:rsidR="00E029B8" w:rsidRPr="00E029B8" w:rsidRDefault="00E029B8" w:rsidP="00E029B8">
      <w:pPr>
        <w:pStyle w:val="Prrafodelista"/>
        <w:rPr>
          <w:rFonts w:ascii="Century Gothic" w:hAnsi="Century Gothic" w:cs="Arial"/>
          <w:sz w:val="28"/>
          <w:szCs w:val="28"/>
        </w:rPr>
      </w:pPr>
    </w:p>
    <w:p w:rsidR="00E029B8" w:rsidRDefault="008D34F4" w:rsidP="00E029B8">
      <w:pPr>
        <w:pStyle w:val="Prrafodelista"/>
        <w:numPr>
          <w:ilvl w:val="1"/>
          <w:numId w:val="1"/>
        </w:numPr>
        <w:tabs>
          <w:tab w:val="left" w:pos="1134"/>
        </w:tabs>
        <w:spacing w:after="0" w:line="360" w:lineRule="auto"/>
        <w:ind w:left="567" w:firstLine="0"/>
        <w:jc w:val="both"/>
        <w:rPr>
          <w:rFonts w:ascii="Century Gothic" w:hAnsi="Century Gothic" w:cs="Arial"/>
          <w:sz w:val="28"/>
          <w:szCs w:val="28"/>
        </w:rPr>
      </w:pPr>
      <w:r w:rsidRPr="00E029B8">
        <w:rPr>
          <w:rFonts w:ascii="Century Gothic" w:hAnsi="Century Gothic" w:cs="Arial"/>
          <w:sz w:val="28"/>
          <w:szCs w:val="28"/>
        </w:rPr>
        <w:t>El día veinticuatro de diciembre de 2015 la Unidad de lo Contencioso emitió acuerdo donde ordenó requerir a la empresa “BAJA TRANSIT S.A. DE C.V.” y/o Carlos Barboza Castillo, la exhibición de copia simple de los contratos celebrados con la “Fundación por la Paz”</w:t>
      </w:r>
      <w:r w:rsidR="00E029B8">
        <w:rPr>
          <w:rFonts w:ascii="Century Gothic" w:hAnsi="Century Gothic" w:cs="Arial"/>
          <w:sz w:val="28"/>
          <w:szCs w:val="28"/>
        </w:rPr>
        <w:t>;</w:t>
      </w:r>
      <w:r w:rsidRPr="00E029B8">
        <w:rPr>
          <w:rFonts w:ascii="Century Gothic" w:hAnsi="Century Gothic" w:cs="Arial"/>
          <w:sz w:val="28"/>
          <w:szCs w:val="28"/>
        </w:rPr>
        <w:t xml:space="preserve"> </w:t>
      </w:r>
      <w:r w:rsidR="00E029B8">
        <w:rPr>
          <w:rFonts w:ascii="Century Gothic" w:hAnsi="Century Gothic" w:cs="Arial"/>
          <w:sz w:val="28"/>
          <w:szCs w:val="28"/>
        </w:rPr>
        <w:t>a</w:t>
      </w:r>
      <w:r w:rsidRPr="00E029B8">
        <w:rPr>
          <w:rFonts w:ascii="Century Gothic" w:hAnsi="Century Gothic" w:cs="Arial"/>
          <w:sz w:val="28"/>
          <w:szCs w:val="28"/>
        </w:rPr>
        <w:t>s</w:t>
      </w:r>
      <w:r w:rsidR="00E029B8">
        <w:rPr>
          <w:rFonts w:ascii="Century Gothic" w:hAnsi="Century Gothic" w:cs="Arial"/>
          <w:sz w:val="28"/>
          <w:szCs w:val="28"/>
        </w:rPr>
        <w:t>i</w:t>
      </w:r>
      <w:r w:rsidRPr="00E029B8">
        <w:rPr>
          <w:rFonts w:ascii="Century Gothic" w:hAnsi="Century Gothic" w:cs="Arial"/>
          <w:sz w:val="28"/>
          <w:szCs w:val="28"/>
        </w:rPr>
        <w:t>mismo</w:t>
      </w:r>
      <w:r w:rsidR="00E029B8">
        <w:rPr>
          <w:rFonts w:ascii="Century Gothic" w:hAnsi="Century Gothic" w:cs="Arial"/>
          <w:sz w:val="28"/>
          <w:szCs w:val="28"/>
        </w:rPr>
        <w:t>,</w:t>
      </w:r>
      <w:r w:rsidRPr="00E029B8">
        <w:rPr>
          <w:rFonts w:ascii="Century Gothic" w:hAnsi="Century Gothic" w:cs="Arial"/>
          <w:sz w:val="28"/>
          <w:szCs w:val="28"/>
        </w:rPr>
        <w:t xml:space="preserve"> orden</w:t>
      </w:r>
      <w:r w:rsidR="00E029B8">
        <w:rPr>
          <w:rFonts w:ascii="Century Gothic" w:hAnsi="Century Gothic" w:cs="Arial"/>
          <w:sz w:val="28"/>
          <w:szCs w:val="28"/>
        </w:rPr>
        <w:t>ó</w:t>
      </w:r>
      <w:r w:rsidRPr="00E029B8">
        <w:rPr>
          <w:rFonts w:ascii="Century Gothic" w:hAnsi="Century Gothic" w:cs="Arial"/>
          <w:sz w:val="28"/>
          <w:szCs w:val="28"/>
        </w:rPr>
        <w:t xml:space="preserve"> requerir a la empresa “ROGER SISTEMAS EXTERIORES” la exhibición de copia simple de los contratos celebrados con la “Fundación Susana Guakil” y/o David Saúl Guakil</w:t>
      </w:r>
      <w:r w:rsidR="00E029B8">
        <w:rPr>
          <w:rFonts w:ascii="Century Gothic" w:hAnsi="Century Gothic" w:cs="Arial"/>
          <w:sz w:val="28"/>
          <w:szCs w:val="28"/>
        </w:rPr>
        <w:t>.</w:t>
      </w:r>
    </w:p>
    <w:p w:rsidR="00BA50A8" w:rsidRDefault="00BA50A8" w:rsidP="005D5CC2">
      <w:pPr>
        <w:tabs>
          <w:tab w:val="left" w:pos="1134"/>
        </w:tabs>
        <w:spacing w:after="0" w:line="360" w:lineRule="auto"/>
        <w:jc w:val="both"/>
        <w:rPr>
          <w:rFonts w:ascii="Century Gothic" w:hAnsi="Century Gothic" w:cs="Arial"/>
          <w:sz w:val="28"/>
          <w:szCs w:val="28"/>
        </w:rPr>
      </w:pPr>
    </w:p>
    <w:p w:rsidR="005D5CC2" w:rsidRPr="00B83A7F" w:rsidRDefault="005D5CC2" w:rsidP="005D5CC2">
      <w:pPr>
        <w:spacing w:after="0" w:line="360" w:lineRule="auto"/>
        <w:jc w:val="both"/>
        <w:rPr>
          <w:rFonts w:ascii="Century Gothic" w:hAnsi="Century Gothic" w:cs="Tahoma"/>
          <w:sz w:val="28"/>
          <w:szCs w:val="28"/>
        </w:rPr>
      </w:pPr>
      <w:r w:rsidRPr="00B83A7F">
        <w:rPr>
          <w:rFonts w:ascii="Century Gothic" w:hAnsi="Century Gothic" w:cs="Tahoma"/>
          <w:sz w:val="28"/>
          <w:szCs w:val="28"/>
        </w:rPr>
        <w:t>Por lo anteriormente expuesto, atentamente pido:</w:t>
      </w:r>
    </w:p>
    <w:p w:rsidR="005D5CC2" w:rsidRPr="00B83A7F" w:rsidRDefault="005D5CC2" w:rsidP="005D5CC2">
      <w:pPr>
        <w:spacing w:after="0" w:line="360" w:lineRule="auto"/>
        <w:jc w:val="both"/>
        <w:rPr>
          <w:rFonts w:ascii="Century Gothic" w:hAnsi="Century Gothic" w:cs="Tahoma"/>
          <w:sz w:val="28"/>
          <w:szCs w:val="28"/>
        </w:rPr>
      </w:pPr>
    </w:p>
    <w:p w:rsidR="005D5CC2" w:rsidRDefault="005D5CC2" w:rsidP="005D5CC2">
      <w:pPr>
        <w:spacing w:after="0" w:line="360" w:lineRule="auto"/>
        <w:jc w:val="both"/>
        <w:rPr>
          <w:rFonts w:ascii="Century Gothic" w:hAnsi="Century Gothic" w:cs="Tahoma"/>
          <w:sz w:val="28"/>
          <w:szCs w:val="28"/>
        </w:rPr>
      </w:pPr>
      <w:r>
        <w:rPr>
          <w:rFonts w:ascii="Century Gothic" w:hAnsi="Century Gothic" w:cs="Tahoma"/>
          <w:b/>
          <w:sz w:val="28"/>
          <w:szCs w:val="28"/>
        </w:rPr>
        <w:t>UNICO.</w:t>
      </w:r>
      <w:r w:rsidRPr="00B83A7F">
        <w:rPr>
          <w:rFonts w:ascii="Century Gothic" w:hAnsi="Century Gothic" w:cs="Tahoma"/>
          <w:sz w:val="28"/>
          <w:szCs w:val="28"/>
        </w:rPr>
        <w:t xml:space="preserve"> </w:t>
      </w:r>
      <w:r>
        <w:rPr>
          <w:rFonts w:ascii="Century Gothic" w:hAnsi="Century Gothic" w:cs="Tahoma"/>
          <w:sz w:val="28"/>
          <w:szCs w:val="28"/>
        </w:rPr>
        <w:t>Tenerme por rendido en tiempo y forma, el informe de actividades de la Unidad Técnica de lo Contencioso Electoral, en el período comprendido del 03 de noviembre al 31 de diciembre de 2015.</w:t>
      </w:r>
    </w:p>
    <w:p w:rsidR="005D5CC2" w:rsidRDefault="005D5CC2" w:rsidP="005D5CC2">
      <w:pPr>
        <w:spacing w:after="0" w:line="360" w:lineRule="auto"/>
        <w:ind w:right="50"/>
        <w:jc w:val="center"/>
        <w:rPr>
          <w:rFonts w:ascii="Century Gothic" w:hAnsi="Century Gothic" w:cs="Tahoma"/>
          <w:sz w:val="28"/>
          <w:szCs w:val="28"/>
        </w:rPr>
      </w:pPr>
    </w:p>
    <w:p w:rsidR="005D5CC2" w:rsidRPr="006555A4" w:rsidRDefault="005D5CC2" w:rsidP="005D5CC2">
      <w:pPr>
        <w:spacing w:after="0"/>
        <w:jc w:val="center"/>
        <w:rPr>
          <w:rFonts w:ascii="Century Gothic" w:hAnsi="Century Gothic"/>
          <w:sz w:val="28"/>
        </w:rPr>
      </w:pPr>
      <w:r w:rsidRPr="006555A4">
        <w:rPr>
          <w:rFonts w:ascii="Century Gothic" w:hAnsi="Century Gothic"/>
          <w:sz w:val="28"/>
        </w:rPr>
        <w:t>ATENTAMENTE</w:t>
      </w:r>
    </w:p>
    <w:p w:rsidR="005D5CC2" w:rsidRPr="006555A4" w:rsidRDefault="005D5CC2" w:rsidP="005D5CC2">
      <w:pPr>
        <w:spacing w:after="0"/>
        <w:jc w:val="center"/>
        <w:rPr>
          <w:rFonts w:ascii="Century Gothic" w:hAnsi="Century Gothic"/>
          <w:b/>
          <w:sz w:val="28"/>
        </w:rPr>
      </w:pPr>
      <w:r w:rsidRPr="006555A4">
        <w:rPr>
          <w:rFonts w:ascii="Century Gothic" w:hAnsi="Century Gothic"/>
          <w:b/>
          <w:sz w:val="28"/>
        </w:rPr>
        <w:t>“Por la Autonomía e Independencia</w:t>
      </w:r>
    </w:p>
    <w:p w:rsidR="005D5CC2" w:rsidRPr="006555A4" w:rsidRDefault="005D5CC2" w:rsidP="005D5CC2">
      <w:pPr>
        <w:spacing w:after="0"/>
        <w:jc w:val="center"/>
        <w:rPr>
          <w:rFonts w:ascii="Century Gothic" w:hAnsi="Century Gothic"/>
          <w:b/>
          <w:sz w:val="28"/>
        </w:rPr>
      </w:pPr>
      <w:r w:rsidRPr="006555A4">
        <w:rPr>
          <w:rFonts w:ascii="Century Gothic" w:hAnsi="Century Gothic"/>
          <w:b/>
          <w:sz w:val="28"/>
        </w:rPr>
        <w:t>de los Organismos Electorales”</w:t>
      </w:r>
    </w:p>
    <w:p w:rsidR="005D5CC2" w:rsidRDefault="005D5CC2" w:rsidP="005D5CC2">
      <w:pPr>
        <w:spacing w:after="0"/>
        <w:jc w:val="center"/>
        <w:rPr>
          <w:rFonts w:ascii="Century Gothic" w:hAnsi="Century Gothic"/>
          <w:b/>
          <w:sz w:val="28"/>
        </w:rPr>
      </w:pPr>
    </w:p>
    <w:p w:rsidR="005D5CC2" w:rsidRDefault="005D5CC2" w:rsidP="005D5CC2">
      <w:pPr>
        <w:spacing w:after="0"/>
        <w:jc w:val="center"/>
        <w:rPr>
          <w:rFonts w:ascii="Century Gothic" w:hAnsi="Century Gothic"/>
          <w:b/>
          <w:sz w:val="28"/>
        </w:rPr>
      </w:pPr>
    </w:p>
    <w:p w:rsidR="005D5CC2" w:rsidRDefault="005D5CC2" w:rsidP="005D5CC2">
      <w:pPr>
        <w:spacing w:after="0"/>
        <w:jc w:val="center"/>
        <w:rPr>
          <w:rFonts w:ascii="Century Gothic" w:hAnsi="Century Gothic"/>
          <w:b/>
          <w:sz w:val="28"/>
        </w:rPr>
      </w:pPr>
    </w:p>
    <w:p w:rsidR="005D5CC2" w:rsidRPr="006555A4" w:rsidRDefault="005D5CC2" w:rsidP="005D5CC2">
      <w:pPr>
        <w:spacing w:after="0"/>
        <w:jc w:val="center"/>
        <w:rPr>
          <w:rFonts w:ascii="Century Gothic" w:hAnsi="Century Gothic"/>
          <w:b/>
          <w:sz w:val="28"/>
        </w:rPr>
      </w:pPr>
      <w:r w:rsidRPr="006555A4">
        <w:rPr>
          <w:rFonts w:ascii="Century Gothic" w:hAnsi="Century Gothic"/>
          <w:b/>
          <w:sz w:val="28"/>
        </w:rPr>
        <w:t>MTRO. RAÚL GUZMÁN GÓMEZ</w:t>
      </w:r>
    </w:p>
    <w:p w:rsidR="005D5CC2" w:rsidRPr="006555A4" w:rsidRDefault="005D5CC2" w:rsidP="005D5CC2">
      <w:pPr>
        <w:spacing w:after="0"/>
        <w:jc w:val="center"/>
        <w:rPr>
          <w:rFonts w:ascii="Century Gothic" w:hAnsi="Century Gothic"/>
          <w:sz w:val="28"/>
        </w:rPr>
      </w:pPr>
      <w:r w:rsidRPr="006555A4">
        <w:rPr>
          <w:rFonts w:ascii="Century Gothic" w:hAnsi="Century Gothic"/>
          <w:sz w:val="28"/>
        </w:rPr>
        <w:t>TITULAR DE LA UNIDAD</w:t>
      </w:r>
    </w:p>
    <w:p w:rsidR="005D5CC2" w:rsidRDefault="005D5CC2" w:rsidP="005D5CC2">
      <w:pPr>
        <w:pStyle w:val="Prrafodelista"/>
        <w:tabs>
          <w:tab w:val="left" w:pos="1560"/>
        </w:tabs>
        <w:spacing w:after="0"/>
        <w:ind w:left="0"/>
        <w:jc w:val="both"/>
        <w:rPr>
          <w:rFonts w:ascii="Century Gothic" w:hAnsi="Century Gothic"/>
          <w:sz w:val="12"/>
          <w:lang w:val="es-ES"/>
        </w:rPr>
      </w:pPr>
    </w:p>
    <w:p w:rsidR="005D5CC2" w:rsidRDefault="005D5CC2" w:rsidP="005D5CC2">
      <w:pPr>
        <w:pStyle w:val="Prrafodelista"/>
        <w:tabs>
          <w:tab w:val="left" w:pos="1560"/>
        </w:tabs>
        <w:spacing w:after="0"/>
        <w:ind w:left="0"/>
        <w:jc w:val="both"/>
        <w:rPr>
          <w:rFonts w:ascii="Century Gothic" w:hAnsi="Century Gothic"/>
          <w:sz w:val="12"/>
          <w:lang w:val="es-ES"/>
        </w:rPr>
      </w:pPr>
    </w:p>
    <w:p w:rsidR="005D5CC2" w:rsidRPr="009B14F2" w:rsidRDefault="005D5CC2" w:rsidP="005D5CC2">
      <w:pPr>
        <w:pStyle w:val="Prrafodelista"/>
        <w:tabs>
          <w:tab w:val="left" w:pos="1560"/>
        </w:tabs>
        <w:spacing w:after="0"/>
        <w:ind w:left="0"/>
        <w:jc w:val="both"/>
        <w:rPr>
          <w:rFonts w:ascii="Century Gothic" w:hAnsi="Century Gothic"/>
          <w:sz w:val="12"/>
          <w:lang w:val="es-ES"/>
        </w:rPr>
      </w:pPr>
      <w:r w:rsidRPr="00B05222">
        <w:rPr>
          <w:rFonts w:ascii="Century Gothic" w:hAnsi="Century Gothic"/>
          <w:sz w:val="12"/>
          <w:lang w:val="es-ES"/>
        </w:rPr>
        <w:t>RGG</w:t>
      </w:r>
      <w:r>
        <w:rPr>
          <w:rFonts w:ascii="Century Gothic" w:hAnsi="Century Gothic"/>
          <w:sz w:val="12"/>
          <w:lang w:val="es-ES"/>
        </w:rPr>
        <w:t>/YIMS</w:t>
      </w:r>
    </w:p>
    <w:p w:rsidR="00BA50A8" w:rsidRPr="00BA50A8" w:rsidRDefault="00BA50A8" w:rsidP="005D5CC2">
      <w:pPr>
        <w:tabs>
          <w:tab w:val="left" w:pos="1134"/>
        </w:tabs>
        <w:spacing w:after="0" w:line="360" w:lineRule="auto"/>
        <w:jc w:val="both"/>
        <w:rPr>
          <w:rFonts w:ascii="Century Gothic" w:hAnsi="Century Gothic" w:cs="Arial"/>
          <w:sz w:val="28"/>
          <w:szCs w:val="28"/>
        </w:rPr>
      </w:pPr>
    </w:p>
    <w:sectPr w:rsidR="00BA50A8" w:rsidRPr="00BA50A8" w:rsidSect="005951E0">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225" w:rsidRDefault="00244225" w:rsidP="002F0774">
      <w:pPr>
        <w:spacing w:after="0" w:line="240" w:lineRule="auto"/>
      </w:pPr>
      <w:r>
        <w:separator/>
      </w:r>
    </w:p>
  </w:endnote>
  <w:endnote w:type="continuationSeparator" w:id="1">
    <w:p w:rsidR="00244225" w:rsidRDefault="00244225" w:rsidP="002F0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umanst521 BT">
    <w:altName w:val="Lucida Sans Unicode"/>
    <w:charset w:val="00"/>
    <w:family w:val="swiss"/>
    <w:pitch w:val="variable"/>
    <w:sig w:usb0="00000001" w:usb1="1000204A"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225" w:rsidRDefault="00244225" w:rsidP="002F0774">
      <w:pPr>
        <w:spacing w:after="0" w:line="240" w:lineRule="auto"/>
      </w:pPr>
      <w:r>
        <w:separator/>
      </w:r>
    </w:p>
  </w:footnote>
  <w:footnote w:type="continuationSeparator" w:id="1">
    <w:p w:rsidR="00244225" w:rsidRDefault="00244225" w:rsidP="002F07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902"/>
      <w:gridCol w:w="1152"/>
    </w:tblGrid>
    <w:tr w:rsidR="002F0774">
      <w:tc>
        <w:tcPr>
          <w:tcW w:w="0" w:type="auto"/>
          <w:tcBorders>
            <w:right w:val="single" w:sz="6" w:space="0" w:color="000000" w:themeColor="text1"/>
          </w:tcBorders>
        </w:tcPr>
        <w:sdt>
          <w:sdtPr>
            <w:rPr>
              <w:rFonts w:ascii="Century Gothic" w:hAnsi="Century Gothic"/>
            </w:rPr>
            <w:alias w:val="Organización"/>
            <w:id w:val="78735422"/>
            <w:placeholder>
              <w:docPart w:val="38CD24AA82934446834582AA995BCE41"/>
            </w:placeholder>
            <w:dataBinding w:prefixMappings="xmlns:ns0='http://schemas.openxmlformats.org/officeDocument/2006/extended-properties'" w:xpath="/ns0:Properties[1]/ns0:Company[1]" w:storeItemID="{6668398D-A668-4E3E-A5EB-62B293D839F1}"/>
            <w:text/>
          </w:sdtPr>
          <w:sdtContent>
            <w:p w:rsidR="002F0774" w:rsidRPr="002F0774" w:rsidRDefault="002F0774">
              <w:pPr>
                <w:pStyle w:val="Encabezado"/>
                <w:jc w:val="right"/>
                <w:rPr>
                  <w:rFonts w:ascii="Century Gothic" w:hAnsi="Century Gothic"/>
                </w:rPr>
              </w:pPr>
              <w:r w:rsidRPr="002F0774">
                <w:rPr>
                  <w:rFonts w:ascii="Century Gothic" w:hAnsi="Century Gothic"/>
                </w:rPr>
                <w:t>UNIDAD TÉCNICA DE LO CONTENCIOSO ELECTORAL</w:t>
              </w:r>
            </w:p>
          </w:sdtContent>
        </w:sdt>
        <w:sdt>
          <w:sdtPr>
            <w:rPr>
              <w:rFonts w:ascii="Century Gothic" w:hAnsi="Century Gothic"/>
              <w:b/>
              <w:bCs/>
            </w:rPr>
            <w:alias w:val="Título"/>
            <w:id w:val="78735415"/>
            <w:placeholder>
              <w:docPart w:val="DC76F0D2E1B044C3B6127882AE00C8C8"/>
            </w:placeholder>
            <w:dataBinding w:prefixMappings="xmlns:ns0='http://schemas.openxmlformats.org/package/2006/metadata/core-properties' xmlns:ns1='http://purl.org/dc/elements/1.1/'" w:xpath="/ns0:coreProperties[1]/ns1:title[1]" w:storeItemID="{6C3C8BC8-F283-45AE-878A-BAB7291924A1}"/>
            <w:text/>
          </w:sdtPr>
          <w:sdtContent>
            <w:p w:rsidR="002F0774" w:rsidRDefault="002F0774" w:rsidP="002F0774">
              <w:pPr>
                <w:pStyle w:val="Encabezado"/>
                <w:jc w:val="right"/>
                <w:rPr>
                  <w:b/>
                  <w:bCs/>
                </w:rPr>
              </w:pPr>
              <w:r w:rsidRPr="002F0774">
                <w:rPr>
                  <w:rFonts w:ascii="Century Gothic" w:hAnsi="Century Gothic"/>
                  <w:b/>
                  <w:bCs/>
                </w:rPr>
                <w:t>INFORME DE ACTIVIDADES</w:t>
              </w:r>
            </w:p>
          </w:sdtContent>
        </w:sdt>
      </w:tc>
      <w:tc>
        <w:tcPr>
          <w:tcW w:w="1152" w:type="dxa"/>
          <w:tcBorders>
            <w:left w:val="single" w:sz="6" w:space="0" w:color="000000" w:themeColor="text1"/>
          </w:tcBorders>
        </w:tcPr>
        <w:p w:rsidR="002F0774" w:rsidRDefault="003D289D">
          <w:pPr>
            <w:pStyle w:val="Encabezado"/>
            <w:rPr>
              <w:b/>
            </w:rPr>
          </w:pPr>
          <w:fldSimple w:instr=" PAGE   \* MERGEFORMAT ">
            <w:r w:rsidR="00F342AD">
              <w:rPr>
                <w:noProof/>
              </w:rPr>
              <w:t>6</w:t>
            </w:r>
          </w:fldSimple>
        </w:p>
      </w:tc>
    </w:tr>
  </w:tbl>
  <w:p w:rsidR="002F0774" w:rsidRDefault="002F077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217E"/>
    <w:multiLevelType w:val="hybridMultilevel"/>
    <w:tmpl w:val="C40226BC"/>
    <w:lvl w:ilvl="0" w:tplc="769E2B14">
      <w:start w:val="1"/>
      <w:numFmt w:val="ordinalText"/>
      <w:lvlText w:val="%1."/>
      <w:lvlJc w:val="left"/>
      <w:pPr>
        <w:ind w:left="720" w:hanging="360"/>
      </w:pPr>
      <w:rPr>
        <w:rFonts w:ascii="Century Gothic" w:hAnsi="Century Gothic" w:hint="default"/>
        <w:b/>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5669F0"/>
    <w:multiLevelType w:val="hybridMultilevel"/>
    <w:tmpl w:val="D28CC596"/>
    <w:lvl w:ilvl="0" w:tplc="876E1044">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25392A82"/>
    <w:multiLevelType w:val="hybridMultilevel"/>
    <w:tmpl w:val="15F47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BAD561C"/>
    <w:multiLevelType w:val="hybridMultilevel"/>
    <w:tmpl w:val="8782F14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nsid w:val="450920AD"/>
    <w:multiLevelType w:val="multilevel"/>
    <w:tmpl w:val="30B4E23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65DC6370"/>
    <w:multiLevelType w:val="multilevel"/>
    <w:tmpl w:val="B0D08B1A"/>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69DC6026"/>
    <w:multiLevelType w:val="hybridMultilevel"/>
    <w:tmpl w:val="9418DABE"/>
    <w:lvl w:ilvl="0" w:tplc="31FE536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DDC2501"/>
    <w:multiLevelType w:val="hybridMultilevel"/>
    <w:tmpl w:val="0A0CD4AA"/>
    <w:lvl w:ilvl="0" w:tplc="028890F2">
      <w:start w:val="1"/>
      <w:numFmt w:val="decimal"/>
      <w:lvlText w:val="%1."/>
      <w:lvlJc w:val="left"/>
      <w:pPr>
        <w:ind w:left="720" w:hanging="36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0"/>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F63DB"/>
    <w:rsid w:val="000C1075"/>
    <w:rsid w:val="0012131B"/>
    <w:rsid w:val="002060C4"/>
    <w:rsid w:val="00244225"/>
    <w:rsid w:val="002F0774"/>
    <w:rsid w:val="00390098"/>
    <w:rsid w:val="003D289D"/>
    <w:rsid w:val="003E6604"/>
    <w:rsid w:val="00420FBE"/>
    <w:rsid w:val="00512A26"/>
    <w:rsid w:val="005951E0"/>
    <w:rsid w:val="005B5EA7"/>
    <w:rsid w:val="005D5CC2"/>
    <w:rsid w:val="005E4726"/>
    <w:rsid w:val="006A2827"/>
    <w:rsid w:val="00790765"/>
    <w:rsid w:val="008B12AC"/>
    <w:rsid w:val="008D34F4"/>
    <w:rsid w:val="009C0560"/>
    <w:rsid w:val="00A557E6"/>
    <w:rsid w:val="00B00E9D"/>
    <w:rsid w:val="00B04826"/>
    <w:rsid w:val="00BA50A8"/>
    <w:rsid w:val="00BF2B5A"/>
    <w:rsid w:val="00BF63DB"/>
    <w:rsid w:val="00C227AE"/>
    <w:rsid w:val="00D27111"/>
    <w:rsid w:val="00E029B8"/>
    <w:rsid w:val="00F342AD"/>
    <w:rsid w:val="00F64FA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2B5A"/>
    <w:pPr>
      <w:ind w:left="720"/>
      <w:contextualSpacing/>
    </w:pPr>
  </w:style>
  <w:style w:type="table" w:styleId="Tablaconcuadrcula">
    <w:name w:val="Table Grid"/>
    <w:basedOn w:val="Tablanormal"/>
    <w:uiPriority w:val="1"/>
    <w:rsid w:val="006A28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3E6604"/>
    <w:pPr>
      <w:spacing w:after="0" w:line="240" w:lineRule="auto"/>
      <w:jc w:val="both"/>
    </w:pPr>
    <w:rPr>
      <w:rFonts w:ascii="Humanst521 BT" w:eastAsia="Times New Roman" w:hAnsi="Humanst521 BT" w:cs="Times New Roman"/>
      <w:sz w:val="28"/>
      <w:szCs w:val="24"/>
      <w:lang w:val="es-ES" w:eastAsia="es-ES"/>
    </w:rPr>
  </w:style>
  <w:style w:type="character" w:customStyle="1" w:styleId="TextoindependienteCar">
    <w:name w:val="Texto independiente Car"/>
    <w:basedOn w:val="Fuentedeprrafopredeter"/>
    <w:link w:val="Textoindependiente"/>
    <w:uiPriority w:val="99"/>
    <w:rsid w:val="003E6604"/>
    <w:rPr>
      <w:rFonts w:ascii="Humanst521 BT" w:eastAsia="Times New Roman" w:hAnsi="Humanst521 BT" w:cs="Times New Roman"/>
      <w:sz w:val="28"/>
      <w:szCs w:val="24"/>
      <w:lang w:val="es-ES" w:eastAsia="es-ES"/>
    </w:rPr>
  </w:style>
  <w:style w:type="paragraph" w:styleId="Encabezado">
    <w:name w:val="header"/>
    <w:basedOn w:val="Normal"/>
    <w:link w:val="EncabezadoCar"/>
    <w:uiPriority w:val="99"/>
    <w:unhideWhenUsed/>
    <w:rsid w:val="002F07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774"/>
  </w:style>
  <w:style w:type="paragraph" w:styleId="Piedepgina">
    <w:name w:val="footer"/>
    <w:basedOn w:val="Normal"/>
    <w:link w:val="PiedepginaCar"/>
    <w:uiPriority w:val="99"/>
    <w:semiHidden/>
    <w:unhideWhenUsed/>
    <w:rsid w:val="002F07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F0774"/>
  </w:style>
  <w:style w:type="paragraph" w:styleId="Textodeglobo">
    <w:name w:val="Balloon Text"/>
    <w:basedOn w:val="Normal"/>
    <w:link w:val="TextodegloboCar"/>
    <w:uiPriority w:val="99"/>
    <w:semiHidden/>
    <w:unhideWhenUsed/>
    <w:rsid w:val="002F07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07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8CD24AA82934446834582AA995BCE41"/>
        <w:category>
          <w:name w:val="General"/>
          <w:gallery w:val="placeholder"/>
        </w:category>
        <w:types>
          <w:type w:val="bbPlcHdr"/>
        </w:types>
        <w:behaviors>
          <w:behavior w:val="content"/>
        </w:behaviors>
        <w:guid w:val="{18B86B2D-BABD-400A-B2A2-968DC25A6DF3}"/>
      </w:docPartPr>
      <w:docPartBody>
        <w:p w:rsidR="007D2281" w:rsidRDefault="00EA36D6" w:rsidP="00EA36D6">
          <w:pPr>
            <w:pStyle w:val="38CD24AA82934446834582AA995BCE41"/>
          </w:pPr>
          <w:r>
            <w:rPr>
              <w:lang w:val="es-ES"/>
            </w:rPr>
            <w:t>[Escribir el nombre de la compañía]</w:t>
          </w:r>
        </w:p>
      </w:docPartBody>
    </w:docPart>
    <w:docPart>
      <w:docPartPr>
        <w:name w:val="DC76F0D2E1B044C3B6127882AE00C8C8"/>
        <w:category>
          <w:name w:val="General"/>
          <w:gallery w:val="placeholder"/>
        </w:category>
        <w:types>
          <w:type w:val="bbPlcHdr"/>
        </w:types>
        <w:behaviors>
          <w:behavior w:val="content"/>
        </w:behaviors>
        <w:guid w:val="{B6CDA069-52CC-401B-A5FF-4DCF5E303AF0}"/>
      </w:docPartPr>
      <w:docPartBody>
        <w:p w:rsidR="007D2281" w:rsidRDefault="00EA36D6" w:rsidP="00EA36D6">
          <w:pPr>
            <w:pStyle w:val="DC76F0D2E1B044C3B6127882AE00C8C8"/>
          </w:pPr>
          <w:r>
            <w:rPr>
              <w:b/>
              <w:bCs/>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umanst521 BT">
    <w:altName w:val="Lucida Sans Unicode"/>
    <w:charset w:val="00"/>
    <w:family w:val="swiss"/>
    <w:pitch w:val="variable"/>
    <w:sig w:usb0="00000001" w:usb1="1000204A"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A36D6"/>
    <w:rsid w:val="00745D97"/>
    <w:rsid w:val="007D2281"/>
    <w:rsid w:val="00EA36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2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8CD24AA82934446834582AA995BCE41">
    <w:name w:val="38CD24AA82934446834582AA995BCE41"/>
    <w:rsid w:val="00EA36D6"/>
  </w:style>
  <w:style w:type="paragraph" w:customStyle="1" w:styleId="DC76F0D2E1B044C3B6127882AE00C8C8">
    <w:name w:val="DC76F0D2E1B044C3B6127882AE00C8C8"/>
    <w:rsid w:val="00EA36D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2007</Words>
  <Characters>11044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UNIDAD TÉCNICA DE LO CONTENCIOSO ELECTORAL</Company>
  <LinksUpToDate>false</LinksUpToDate>
  <CharactersWithSpaces>13025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ACTIVIDADES</dc:title>
  <dc:subject/>
  <dc:creator>IEPC</dc:creator>
  <cp:keywords/>
  <dc:description/>
  <cp:lastModifiedBy>IEPC</cp:lastModifiedBy>
  <cp:revision>7</cp:revision>
  <cp:lastPrinted>2016-02-10T02:55:00Z</cp:lastPrinted>
  <dcterms:created xsi:type="dcterms:W3CDTF">2016-02-10T01:24:00Z</dcterms:created>
  <dcterms:modified xsi:type="dcterms:W3CDTF">2016-02-10T17:17:00Z</dcterms:modified>
</cp:coreProperties>
</file>