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Pr="006B343A" w:rsidRDefault="00F25481" w:rsidP="006B343A">
      <w:r w:rsidRPr="00F25481">
        <w:t>1. Fondos Fijos; 2. Gastos por comprobar: 3. Inventario físico</w:t>
      </w:r>
      <w:bookmarkStart w:id="0" w:name="_GoBack"/>
      <w:bookmarkEnd w:id="0"/>
      <w:r w:rsidRPr="00F25481">
        <w:t xml:space="preserve"> de bienes muebles; 4. pago y/o firma de nómina y entrega de recibos a trabajadores del instituto; 5. distribución de vales de gasolina; 6. ingresos;  7.conciliaciones bancarias; 8. informes de avance de la gestión financiera.</w:t>
      </w:r>
    </w:p>
    <w:sectPr w:rsidR="00A36931" w:rsidRPr="006B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8590D"/>
    <w:rsid w:val="00224586"/>
    <w:rsid w:val="00506E90"/>
    <w:rsid w:val="005B4655"/>
    <w:rsid w:val="006B343A"/>
    <w:rsid w:val="00A46406"/>
    <w:rsid w:val="00DC5B2F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6</cp:revision>
  <dcterms:created xsi:type="dcterms:W3CDTF">2017-02-13T18:56:00Z</dcterms:created>
  <dcterms:modified xsi:type="dcterms:W3CDTF">2017-02-13T19:04:00Z</dcterms:modified>
</cp:coreProperties>
</file>