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95" w:rsidRPr="00DF4A95" w:rsidRDefault="00DF4A95" w:rsidP="00DF4A95">
      <w:pPr>
        <w:pStyle w:val="Default"/>
        <w:jc w:val="center"/>
        <w:rPr>
          <w:rFonts w:ascii="Arial" w:hAnsi="Arial" w:cs="Arial"/>
          <w:b/>
        </w:rPr>
      </w:pPr>
      <w:r w:rsidRPr="00DF4A95">
        <w:rPr>
          <w:rFonts w:ascii="Arial" w:hAnsi="Arial" w:cs="Arial"/>
          <w:b/>
        </w:rPr>
        <w:t>Consejero Presidente</w:t>
      </w:r>
    </w:p>
    <w:p w:rsidR="00DF4A95" w:rsidRPr="00DF4A95" w:rsidRDefault="00DF4A95" w:rsidP="00DF4A95">
      <w:pPr>
        <w:pStyle w:val="Default"/>
        <w:jc w:val="center"/>
        <w:rPr>
          <w:rFonts w:ascii="Arial" w:hAnsi="Arial" w:cs="Arial"/>
          <w:b/>
        </w:rPr>
      </w:pPr>
    </w:p>
    <w:p w:rsidR="00DF4A95" w:rsidRPr="00DF4A95" w:rsidRDefault="00DF4A95" w:rsidP="00DF4A95">
      <w:pPr>
        <w:pStyle w:val="Default"/>
        <w:rPr>
          <w:rFonts w:ascii="Arial" w:hAnsi="Arial" w:cs="Arial"/>
          <w:b/>
        </w:rPr>
      </w:pPr>
      <w:r w:rsidRPr="00DF4A95">
        <w:rPr>
          <w:rFonts w:ascii="Arial" w:hAnsi="Arial" w:cs="Arial"/>
          <w:b/>
        </w:rPr>
        <w:t>Ley Electoral del Estado de Baja California</w:t>
      </w:r>
    </w:p>
    <w:p w:rsidR="00DF4A95" w:rsidRDefault="00DF4A95" w:rsidP="00BD0CFB">
      <w:pPr>
        <w:pStyle w:val="Default"/>
        <w:jc w:val="both"/>
        <w:rPr>
          <w:rFonts w:ascii="Arial" w:hAnsi="Arial" w:cs="Arial"/>
        </w:rPr>
      </w:pPr>
    </w:p>
    <w:p w:rsidR="00BD0CFB" w:rsidRDefault="00BD0CFB" w:rsidP="00BD0CFB">
      <w:pPr>
        <w:pStyle w:val="Default"/>
        <w:jc w:val="both"/>
        <w:rPr>
          <w:rFonts w:ascii="Arial" w:hAnsi="Arial" w:cs="Arial"/>
          <w:b/>
          <w:bCs/>
        </w:rPr>
      </w:pPr>
      <w:r w:rsidRPr="00BD0CFB">
        <w:rPr>
          <w:rFonts w:ascii="Arial" w:hAnsi="Arial" w:cs="Arial"/>
        </w:rPr>
        <w:t>Artículo 47</w:t>
      </w:r>
      <w:r w:rsidRPr="00DF4A95">
        <w:rPr>
          <w:rFonts w:ascii="Arial" w:hAnsi="Arial" w:cs="Arial"/>
        </w:rPr>
        <w:t>.</w:t>
      </w:r>
      <w:r w:rsidRPr="00DF4A95">
        <w:rPr>
          <w:rFonts w:ascii="Arial" w:hAnsi="Arial" w:cs="Arial"/>
          <w:bCs/>
        </w:rPr>
        <w:t>- Son atribuciones del Consejero Presidente del Consejo General:</w:t>
      </w:r>
      <w:r w:rsidRPr="00BD0CFB">
        <w:rPr>
          <w:rFonts w:ascii="Arial" w:hAnsi="Arial" w:cs="Arial"/>
          <w:b/>
          <w:bCs/>
        </w:rPr>
        <w:t xml:space="preserve"> </w:t>
      </w:r>
    </w:p>
    <w:p w:rsidR="00DF4A95" w:rsidRPr="00BD0CFB" w:rsidRDefault="00DF4A95" w:rsidP="00BD0CFB">
      <w:pPr>
        <w:pStyle w:val="Default"/>
        <w:jc w:val="both"/>
        <w:rPr>
          <w:rFonts w:ascii="Arial" w:hAnsi="Arial" w:cs="Arial"/>
        </w:rPr>
      </w:pP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I. Preservar la unidad y cohesión de las actividades de los órganos del Instituto Electoral;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II. Establecer los vínculos y celebrar los convenios entre el Instituto y las autoridades federales, estatales y municipales, centros de enseñanza para el apoyo y colaboración en sus respectivos ámbitos, cuando sea necesario para el cumplimiento de los fines del Instituto haciéndolo del conocimiento del Consejo General. En caso de convenios con organismos electorales se estará a lo dispuesto en la fracción XXVI del artículo anterior;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III. Convocar y conducir las sesiones del Consejo General, declarando el quórum;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IV. Informar oportunamente al Instituto Nacional, las vacantes que se originen entre los consejeros electorales del Consejo General, para los efectos de sus correspondientes sustituciones;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V. Vigilar y proveer lo necesario para el cumplimiento de los acuerdos adoptados por el Consejo General;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VI. Proponer al Consejo General el nombramiento o remoción del Secretario Ejecutivo; a los titulares de los Departamentos de Procesos Electorales, Administración, Control Interno, y de la Unidad Técnica de lo Contencioso Electoral; de los Consejeros Presidentes de los Consejos Distritales, y al Coordinador de Comunicación Social del Consejo General, en los términos dispuestos en esta Ley; </w:t>
      </w:r>
    </w:p>
    <w:p w:rsidR="00BD0CFB" w:rsidRPr="00BD0CFB" w:rsidRDefault="00BD0CFB" w:rsidP="00BD0CFB">
      <w:pPr>
        <w:pStyle w:val="Default"/>
        <w:spacing w:after="147"/>
        <w:jc w:val="both"/>
        <w:rPr>
          <w:rFonts w:ascii="Arial" w:hAnsi="Arial" w:cs="Arial"/>
        </w:rPr>
      </w:pPr>
      <w:r w:rsidRPr="00BD0CFB">
        <w:rPr>
          <w:rFonts w:ascii="Arial" w:hAnsi="Arial" w:cs="Arial"/>
        </w:rPr>
        <w:t xml:space="preserve">VII. Proponer anualmente al Consejo General el anteproyecto de presupuesto del Instituto Estatal, para su aprobación; </w:t>
      </w:r>
    </w:p>
    <w:p w:rsidR="00BD0CFB" w:rsidRDefault="00BD0CFB" w:rsidP="00BD0CFB">
      <w:pPr>
        <w:pStyle w:val="Default"/>
        <w:jc w:val="both"/>
        <w:rPr>
          <w:rFonts w:ascii="Arial" w:hAnsi="Arial" w:cs="Arial"/>
        </w:rPr>
      </w:pPr>
      <w:r w:rsidRPr="00BD0CFB">
        <w:rPr>
          <w:rFonts w:ascii="Arial" w:hAnsi="Arial" w:cs="Arial"/>
        </w:rPr>
        <w:t xml:space="preserve">VIII. Remitir a los Poderes Ejecutivo y Legislativo, el proyecto de presupuesto del Instituto aprobado por el Consejo General, en los términos de la ley de la materia; </w:t>
      </w:r>
    </w:p>
    <w:p w:rsidR="00C926FA" w:rsidRDefault="00C926FA" w:rsidP="00BD0CFB">
      <w:pPr>
        <w:pStyle w:val="Default"/>
        <w:jc w:val="both"/>
        <w:rPr>
          <w:rFonts w:ascii="Arial" w:hAnsi="Arial" w:cs="Arial"/>
        </w:rPr>
      </w:pPr>
    </w:p>
    <w:p w:rsidR="00C926FA" w:rsidRPr="00C926FA" w:rsidRDefault="00C926FA" w:rsidP="00C926FA">
      <w:pPr>
        <w:pStyle w:val="Default"/>
        <w:spacing w:after="147"/>
        <w:rPr>
          <w:rFonts w:ascii="Arial" w:hAnsi="Arial" w:cs="Arial"/>
        </w:rPr>
      </w:pPr>
      <w:r w:rsidRPr="00C926FA">
        <w:rPr>
          <w:rFonts w:ascii="Arial" w:hAnsi="Arial" w:cs="Arial"/>
        </w:rPr>
        <w:t xml:space="preserve">IX. Presidir la Junta General Ejecutiva e informar al Consejo General de los trabajos de la misma; </w:t>
      </w:r>
    </w:p>
    <w:p w:rsidR="00C926FA" w:rsidRPr="00C926FA" w:rsidRDefault="00C926FA" w:rsidP="00C926FA">
      <w:pPr>
        <w:pStyle w:val="Default"/>
        <w:spacing w:after="147"/>
        <w:rPr>
          <w:rFonts w:ascii="Arial" w:hAnsi="Arial" w:cs="Arial"/>
        </w:rPr>
      </w:pPr>
      <w:r w:rsidRPr="00C926FA">
        <w:rPr>
          <w:rFonts w:ascii="Arial" w:hAnsi="Arial" w:cs="Arial"/>
        </w:rPr>
        <w:t xml:space="preserve">X. Someter a consideración del Consejo General las propuestas para la creación de áreas o unidades técnicas, para el mejor funcionamiento del Instituto, que le formule el Secretario Ejecutivo; </w:t>
      </w:r>
    </w:p>
    <w:p w:rsidR="00C926FA" w:rsidRPr="00C926FA" w:rsidRDefault="00C926FA" w:rsidP="00C926FA">
      <w:pPr>
        <w:pStyle w:val="Default"/>
        <w:spacing w:after="147"/>
        <w:rPr>
          <w:rFonts w:ascii="Arial" w:hAnsi="Arial" w:cs="Arial"/>
        </w:rPr>
      </w:pPr>
      <w:r w:rsidRPr="00C926FA">
        <w:rPr>
          <w:rFonts w:ascii="Arial" w:hAnsi="Arial" w:cs="Arial"/>
        </w:rPr>
        <w:t xml:space="preserve">XI. Turnar a la Comisión competente aquellos asuntos que por la urgencia de su resolución así lo requieran; </w:t>
      </w:r>
    </w:p>
    <w:p w:rsidR="00C926FA" w:rsidRPr="00C926FA" w:rsidRDefault="00C926FA" w:rsidP="00C926FA">
      <w:pPr>
        <w:pStyle w:val="Default"/>
        <w:spacing w:after="147"/>
        <w:rPr>
          <w:rFonts w:ascii="Arial" w:hAnsi="Arial" w:cs="Arial"/>
        </w:rPr>
      </w:pPr>
      <w:r w:rsidRPr="00C926FA">
        <w:rPr>
          <w:rFonts w:ascii="Arial" w:hAnsi="Arial" w:cs="Arial"/>
        </w:rPr>
        <w:t xml:space="preserve">XII. Ordenar la publicación en el Periódico Oficial del Estado de los acuerdos o resoluciones que establezca esta Ley y los que determine el Consejo General; </w:t>
      </w:r>
    </w:p>
    <w:p w:rsidR="00C926FA" w:rsidRPr="00C926FA" w:rsidRDefault="00C926FA" w:rsidP="00C926FA">
      <w:pPr>
        <w:pStyle w:val="Default"/>
        <w:spacing w:after="147"/>
        <w:rPr>
          <w:rFonts w:ascii="Arial" w:hAnsi="Arial" w:cs="Arial"/>
        </w:rPr>
      </w:pPr>
      <w:r w:rsidRPr="00C926FA">
        <w:rPr>
          <w:rFonts w:ascii="Arial" w:hAnsi="Arial" w:cs="Arial"/>
        </w:rPr>
        <w:t xml:space="preserve">XIII. Remitir al Congreso del Estado las Iniciativas de Ley o Decreto aprobadas por el Consejo General; </w:t>
      </w:r>
    </w:p>
    <w:p w:rsidR="00C926FA" w:rsidRPr="00C926FA" w:rsidRDefault="00C926FA" w:rsidP="00C926FA">
      <w:pPr>
        <w:pStyle w:val="Default"/>
        <w:spacing w:after="147"/>
        <w:rPr>
          <w:rFonts w:ascii="Arial" w:hAnsi="Arial" w:cs="Arial"/>
        </w:rPr>
      </w:pPr>
      <w:r w:rsidRPr="00C926FA">
        <w:rPr>
          <w:rFonts w:ascii="Arial" w:hAnsi="Arial" w:cs="Arial"/>
        </w:rPr>
        <w:t xml:space="preserve">XIV. Firmar, junto con el Secretario Ejecutivo, todos los acuerdos, certificaciones y resoluciones que emita el Consejo General; </w:t>
      </w:r>
    </w:p>
    <w:p w:rsidR="00C926FA" w:rsidRPr="00C926FA" w:rsidRDefault="00C926FA" w:rsidP="00C926FA">
      <w:pPr>
        <w:pStyle w:val="Default"/>
        <w:spacing w:after="147"/>
        <w:rPr>
          <w:rFonts w:ascii="Arial" w:hAnsi="Arial" w:cs="Arial"/>
        </w:rPr>
      </w:pPr>
      <w:r w:rsidRPr="00C926FA">
        <w:rPr>
          <w:rFonts w:ascii="Arial" w:hAnsi="Arial" w:cs="Arial"/>
        </w:rPr>
        <w:t xml:space="preserve">XV. Representar legalmente al Consejo General, cuando se interponga algún recurso en contra de sus actos o resoluciones, y </w:t>
      </w:r>
      <w:bookmarkStart w:id="0" w:name="_GoBack"/>
      <w:bookmarkEnd w:id="0"/>
    </w:p>
    <w:p w:rsidR="00E904E9" w:rsidRDefault="00C926FA" w:rsidP="00DF4A95">
      <w:pPr>
        <w:pStyle w:val="Default"/>
      </w:pPr>
      <w:r w:rsidRPr="00C926FA">
        <w:rPr>
          <w:rFonts w:ascii="Arial" w:hAnsi="Arial" w:cs="Arial"/>
        </w:rPr>
        <w:t xml:space="preserve">XVI. Las demás que disponga esta Ley. </w:t>
      </w:r>
    </w:p>
    <w:sectPr w:rsidR="00E904E9" w:rsidSect="0034783A">
      <w:pgSz w:w="12240" w:h="16340"/>
      <w:pgMar w:top="1239" w:right="855" w:bottom="518" w:left="14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462"/>
    <w:rsid w:val="00376D21"/>
    <w:rsid w:val="00427462"/>
    <w:rsid w:val="00BD0CFB"/>
    <w:rsid w:val="00C926FA"/>
    <w:rsid w:val="00DF4A95"/>
    <w:rsid w:val="00E904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0C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2284</Characters>
  <Application>Microsoft Office Word</Application>
  <DocSecurity>0</DocSecurity>
  <Lines>19</Lines>
  <Paragraphs>5</Paragraphs>
  <ScaleCrop>false</ScaleCrop>
  <Company>Hewlett-Packard Company</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Curso1</dc:creator>
  <cp:keywords/>
  <dc:description/>
  <cp:lastModifiedBy>usuario</cp:lastModifiedBy>
  <cp:revision>4</cp:revision>
  <dcterms:created xsi:type="dcterms:W3CDTF">2017-07-17T19:09:00Z</dcterms:created>
  <dcterms:modified xsi:type="dcterms:W3CDTF">2017-07-18T19:15:00Z</dcterms:modified>
</cp:coreProperties>
</file>