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B2C" w:rsidRPr="00FB6FBC" w:rsidRDefault="00A43B2C" w:rsidP="00A43B2C">
      <w:pPr>
        <w:spacing w:line="276" w:lineRule="auto"/>
        <w:ind w:left="116" w:right="59"/>
        <w:jc w:val="both"/>
        <w:rPr>
          <w:rFonts w:ascii="Humanst521 BT" w:eastAsia="Tahoma" w:hAnsi="Humanst521 BT" w:cs="Arial"/>
          <w:b/>
          <w:spacing w:val="-1"/>
          <w:sz w:val="22"/>
          <w:szCs w:val="22"/>
        </w:rPr>
      </w:pPr>
      <w:r>
        <w:rPr>
          <w:rFonts w:ascii="Humanst521 BT" w:eastAsia="Tahoma" w:hAnsi="Humanst521 BT" w:cs="Arial"/>
          <w:b/>
          <w:spacing w:val="-1"/>
          <w:sz w:val="22"/>
          <w:szCs w:val="22"/>
        </w:rPr>
        <w:t>Artículo 59</w:t>
      </w:r>
      <w:r w:rsidRPr="00FB6FBC">
        <w:rPr>
          <w:rFonts w:ascii="Humanst521 BT" w:eastAsia="Tahoma" w:hAnsi="Humanst521 BT" w:cs="Arial"/>
          <w:b/>
          <w:spacing w:val="-1"/>
          <w:sz w:val="22"/>
          <w:szCs w:val="22"/>
        </w:rPr>
        <w:t xml:space="preserve">. </w:t>
      </w:r>
    </w:p>
    <w:p w:rsidR="00A43B2C" w:rsidRPr="00FB6FBC" w:rsidRDefault="00A43B2C" w:rsidP="00A43B2C">
      <w:pPr>
        <w:pStyle w:val="Prrafodelista"/>
        <w:numPr>
          <w:ilvl w:val="0"/>
          <w:numId w:val="1"/>
        </w:numPr>
        <w:tabs>
          <w:tab w:val="left" w:pos="567"/>
        </w:tabs>
        <w:spacing w:line="276" w:lineRule="auto"/>
        <w:ind w:left="567" w:right="59" w:hanging="425"/>
        <w:jc w:val="both"/>
        <w:rPr>
          <w:rFonts w:ascii="Humanst521 BT" w:eastAsia="Tahoma" w:hAnsi="Humanst521 BT" w:cs="Arial"/>
          <w:spacing w:val="-1"/>
          <w:sz w:val="22"/>
          <w:szCs w:val="22"/>
        </w:rPr>
      </w:pPr>
      <w:r w:rsidRPr="00FB6FBC">
        <w:rPr>
          <w:rFonts w:ascii="Humanst521 BT" w:eastAsia="Tahoma" w:hAnsi="Humanst521 BT" w:cs="Arial"/>
          <w:spacing w:val="-1"/>
          <w:sz w:val="22"/>
          <w:szCs w:val="22"/>
        </w:rPr>
        <w:t>Para el cumplimiento de las atribuciones que la Ley Electoral le confiere, corresponde a la Coordinación de Partidos: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Participar en las Sesiones de la Junta;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Prestar la asesoría legal correspondiente a la Secretaría, a la Comisión del Régimen de Partidos Políticos y Financiamiento y, en su caso, a los representantes de los partidos políticos, coaliciones y candidatos independientes;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y supervisar la elaboración de dictámenes, puntos de acuerdo, informes u opiniones de la Comisión del Régimen de Partidos Políticos y Financiamiento;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Llevar los libros correspondientes para el registro de los convenios de fusión, frentes y coaliciones; de los integrantes de los órganos directivos y representantes acreditados ante el Instituto y candidatos a puestos de elección popular;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en la revisión de documentos que presenten los partidos políticos y coaliciones para el registro de su plataforma electoral, y elaborar el proyecto de dictamen correspondiente para remitirlo a la Comisión del Régimen de Partidos Políticos y Financiamiento;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la revisión de los convenios de fusión, frentes y coaliciones que se presenten ante el Instituto, así como elaborar el proyecto de resolución respectivo y presentarlo ante la Comisión del Régimen de Partidos Políticos y Financiamiento;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Revisar la documentación que presenten los partidos políticos locales respecto a la integración de sus órganos directivos a nivel estatal y municipal, a fin de determinar la observancia a su normatividad interna;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en la elaboración de los lineamientos que regulen las condiciones para la verificación del cumplimiento del porcentaje del apoyo ciudadano requerido para solicitar el registro como candidato independiente;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lastRenderedPageBreak/>
        <w:t>Turnar al Instituto Nacional Electoral la información para que verifique la autenticidad de las afiliaciones en el proceso de registro de partidos políticos locales, así como la demás documentación requerida;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Coadyuvar en la revisión de las solicitudes que presenten los partidos políticos y coaliciones, respecto al registro y sustitución de candidatos a puestos de elección popular, así como en el registro de los aspirantes a obtener una candidatura independiente;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Coordinar y supervisar la recepción y seguimiento a las solicitudes que formulen los ciudadanos que pretendan constituirse como partidos políticos locales;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Elaborar los formatos que utilizarán los aspirantes a obtener una candidatura independiente durante las distintas etapas previstas en la Ley que las reglamenta;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Ministrar el financiamiento público al que tienen derecho los partidos políticos y candidatos independientes;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Formular los proyectos de topes máximos de gastos de precampaña, campaña, así como de los actos tendentes al apoyo ciudadano para la obtención de candidaturas independientes;</w:t>
      </w:r>
    </w:p>
    <w:p w:rsidR="00A43B2C" w:rsidRPr="00FB6FBC" w:rsidRDefault="00A43B2C" w:rsidP="00A43B2C">
      <w:pPr>
        <w:pStyle w:val="Prrafodelista"/>
        <w:numPr>
          <w:ilvl w:val="0"/>
          <w:numId w:val="2"/>
        </w:numPr>
        <w:tabs>
          <w:tab w:val="left" w:pos="1134"/>
        </w:tabs>
        <w:spacing w:line="276" w:lineRule="auto"/>
        <w:ind w:left="1134" w:hanging="567"/>
        <w:jc w:val="both"/>
        <w:rPr>
          <w:rFonts w:ascii="Humanst521 BT" w:eastAsia="Tahoma" w:hAnsi="Humanst521 BT" w:cs="Arial"/>
          <w:spacing w:val="1"/>
          <w:sz w:val="22"/>
          <w:szCs w:val="22"/>
        </w:rPr>
      </w:pPr>
      <w:r w:rsidRPr="00FB6FBC">
        <w:rPr>
          <w:rFonts w:ascii="Humanst521 BT" w:eastAsia="Tahoma" w:hAnsi="Humanst521 BT" w:cs="Arial"/>
          <w:spacing w:val="1"/>
          <w:sz w:val="22"/>
          <w:szCs w:val="22"/>
        </w:rPr>
        <w:t>Asistir a las sesiones de la Comisión de Partidos Políticos y Financiamiento en calidad de Secretario Técnico, y</w:t>
      </w:r>
    </w:p>
    <w:p w:rsidR="00EF4515" w:rsidRDefault="00A43B2C" w:rsidP="00A43B2C">
      <w:r w:rsidRPr="00FB6FBC">
        <w:rPr>
          <w:rFonts w:ascii="Humanst521 BT" w:eastAsia="Tahoma" w:hAnsi="Humanst521 BT" w:cs="Arial"/>
          <w:spacing w:val="1"/>
          <w:sz w:val="22"/>
          <w:szCs w:val="22"/>
        </w:rPr>
        <w:t>Las demás que le confiera el Consejo General, el Secretario Ejecutivo, la Ley Electoral y demás disposiciones aplicables.</w:t>
      </w:r>
    </w:p>
    <w:sectPr w:rsidR="00EF4515" w:rsidSect="00EF4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B2C" w:rsidRDefault="00A43B2C" w:rsidP="00A43B2C">
      <w:r>
        <w:separator/>
      </w:r>
    </w:p>
  </w:endnote>
  <w:endnote w:type="continuationSeparator" w:id="1">
    <w:p w:rsidR="00A43B2C" w:rsidRDefault="00A43B2C" w:rsidP="00A43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st521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2C" w:rsidRDefault="00A43B2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2C" w:rsidRDefault="00A43B2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2C" w:rsidRDefault="00A43B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B2C" w:rsidRDefault="00A43B2C" w:rsidP="00A43B2C">
      <w:r>
        <w:separator/>
      </w:r>
    </w:p>
  </w:footnote>
  <w:footnote w:type="continuationSeparator" w:id="1">
    <w:p w:rsidR="00A43B2C" w:rsidRDefault="00A43B2C" w:rsidP="00A43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2C" w:rsidRDefault="00A43B2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2C" w:rsidRDefault="00A43B2C" w:rsidP="00A43B2C">
    <w:pPr>
      <w:pStyle w:val="Encabezado"/>
      <w:jc w:val="right"/>
      <w:rPr>
        <w:rFonts w:ascii="Humanst521 BT" w:hAnsi="Humanst521 BT" w:cs="Tahoma"/>
        <w:b/>
        <w:bCs/>
        <w:color w:val="808080"/>
        <w:sz w:val="18"/>
      </w:rPr>
    </w:pPr>
    <w:r>
      <w:rPr>
        <w:rFonts w:ascii="Humanst521 BT" w:hAnsi="Humanst521 BT"/>
        <w:b/>
        <w:noProof/>
        <w:color w:val="808080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-159385</wp:posOffset>
          </wp:positionH>
          <wp:positionV relativeFrom="paragraph">
            <wp:posOffset>-189230</wp:posOffset>
          </wp:positionV>
          <wp:extent cx="1441450" cy="628015"/>
          <wp:effectExtent l="19050" t="0" r="635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E673E">
      <w:rPr>
        <w:rFonts w:ascii="Humanst521 BT" w:hAnsi="Humanst521 BT" w:cs="Tahoma"/>
        <w:b/>
        <w:bCs/>
        <w:color w:val="808080"/>
        <w:sz w:val="18"/>
      </w:rPr>
      <w:t xml:space="preserve">REGLAMENTO INTERIOR </w:t>
    </w:r>
    <w:r>
      <w:rPr>
        <w:rFonts w:ascii="Humanst521 BT" w:hAnsi="Humanst521 BT" w:cs="Tahoma"/>
        <w:b/>
        <w:bCs/>
        <w:color w:val="808080"/>
        <w:sz w:val="18"/>
      </w:rPr>
      <w:t xml:space="preserve">DEL INSTITUTO ESTATAL ELECTORAL </w:t>
    </w:r>
  </w:p>
  <w:p w:rsidR="00A43B2C" w:rsidRPr="00544B1E" w:rsidRDefault="00A43B2C" w:rsidP="00A43B2C">
    <w:pPr>
      <w:pStyle w:val="Encabezado"/>
      <w:jc w:val="right"/>
      <w:rPr>
        <w:color w:val="808080"/>
      </w:rPr>
    </w:pPr>
    <w:r>
      <w:rPr>
        <w:rFonts w:ascii="Humanst521 BT" w:hAnsi="Humanst521 BT" w:cs="Tahoma"/>
        <w:b/>
        <w:bCs/>
        <w:color w:val="808080"/>
        <w:sz w:val="18"/>
      </w:rPr>
      <w:t>DE BAJA CALIFORNIA</w:t>
    </w:r>
  </w:p>
  <w:p w:rsidR="00A43B2C" w:rsidRDefault="00A43B2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2C" w:rsidRDefault="00A43B2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25DE"/>
    <w:multiLevelType w:val="hybridMultilevel"/>
    <w:tmpl w:val="F39E93DC"/>
    <w:lvl w:ilvl="0" w:tplc="FE0EE9CA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6" w:hanging="360"/>
      </w:pPr>
    </w:lvl>
    <w:lvl w:ilvl="2" w:tplc="080A001B" w:tentative="1">
      <w:start w:val="1"/>
      <w:numFmt w:val="lowerRoman"/>
      <w:lvlText w:val="%3."/>
      <w:lvlJc w:val="right"/>
      <w:pPr>
        <w:ind w:left="1916" w:hanging="180"/>
      </w:pPr>
    </w:lvl>
    <w:lvl w:ilvl="3" w:tplc="080A000F" w:tentative="1">
      <w:start w:val="1"/>
      <w:numFmt w:val="decimal"/>
      <w:lvlText w:val="%4."/>
      <w:lvlJc w:val="left"/>
      <w:pPr>
        <w:ind w:left="2636" w:hanging="360"/>
      </w:pPr>
    </w:lvl>
    <w:lvl w:ilvl="4" w:tplc="080A0019" w:tentative="1">
      <w:start w:val="1"/>
      <w:numFmt w:val="lowerLetter"/>
      <w:lvlText w:val="%5."/>
      <w:lvlJc w:val="left"/>
      <w:pPr>
        <w:ind w:left="3356" w:hanging="360"/>
      </w:pPr>
    </w:lvl>
    <w:lvl w:ilvl="5" w:tplc="080A001B" w:tentative="1">
      <w:start w:val="1"/>
      <w:numFmt w:val="lowerRoman"/>
      <w:lvlText w:val="%6."/>
      <w:lvlJc w:val="right"/>
      <w:pPr>
        <w:ind w:left="4076" w:hanging="180"/>
      </w:pPr>
    </w:lvl>
    <w:lvl w:ilvl="6" w:tplc="080A000F" w:tentative="1">
      <w:start w:val="1"/>
      <w:numFmt w:val="decimal"/>
      <w:lvlText w:val="%7."/>
      <w:lvlJc w:val="left"/>
      <w:pPr>
        <w:ind w:left="4796" w:hanging="360"/>
      </w:pPr>
    </w:lvl>
    <w:lvl w:ilvl="7" w:tplc="080A0019" w:tentative="1">
      <w:start w:val="1"/>
      <w:numFmt w:val="lowerLetter"/>
      <w:lvlText w:val="%8."/>
      <w:lvlJc w:val="left"/>
      <w:pPr>
        <w:ind w:left="5516" w:hanging="360"/>
      </w:pPr>
    </w:lvl>
    <w:lvl w:ilvl="8" w:tplc="080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1">
    <w:nsid w:val="5CDD5143"/>
    <w:multiLevelType w:val="hybridMultilevel"/>
    <w:tmpl w:val="7FCEAAD8"/>
    <w:lvl w:ilvl="0" w:tplc="95043E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3B2C"/>
    <w:rsid w:val="00A43B2C"/>
    <w:rsid w:val="00EF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B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43B2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43B2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3B2C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iedepgina">
    <w:name w:val="footer"/>
    <w:basedOn w:val="Normal"/>
    <w:link w:val="PiedepginaCar"/>
    <w:uiPriority w:val="99"/>
    <w:semiHidden/>
    <w:unhideWhenUsed/>
    <w:rsid w:val="00A43B2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43B2C"/>
    <w:rPr>
      <w:rFonts w:ascii="Times New Roman" w:eastAsia="SimSun" w:hAnsi="Times New Roman" w:cs="Times New Roman"/>
      <w:sz w:val="24"/>
      <w:szCs w:val="24"/>
      <w:lang w:val="es-E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2578</Characters>
  <Application>Microsoft Office Word</Application>
  <DocSecurity>0</DocSecurity>
  <Lines>21</Lines>
  <Paragraphs>6</Paragraphs>
  <ScaleCrop>false</ScaleCrop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2017-11-24T16:50:00Z</dcterms:created>
  <dcterms:modified xsi:type="dcterms:W3CDTF">2017-11-24T16:50:00Z</dcterms:modified>
</cp:coreProperties>
</file>