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22" w:rsidRPr="00FB6FBC" w:rsidRDefault="00872722" w:rsidP="00872722">
      <w:pPr>
        <w:spacing w:line="276" w:lineRule="auto"/>
        <w:ind w:left="116" w:right="59"/>
        <w:jc w:val="both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56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>.</w:t>
      </w:r>
    </w:p>
    <w:p w:rsidR="00872722" w:rsidRPr="00FB6FBC" w:rsidRDefault="00872722" w:rsidP="00872722">
      <w:pPr>
        <w:pStyle w:val="Prrafodelista"/>
        <w:numPr>
          <w:ilvl w:val="0"/>
          <w:numId w:val="1"/>
        </w:numPr>
        <w:spacing w:line="276" w:lineRule="auto"/>
        <w:ind w:left="567" w:right="59" w:hanging="451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Sin detrimento de las atribuciones que les confiere la Ley Electoral, las Coordinaciones y la Unidad de lo Contencioso, tendrán las siguientes funciones: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Proponer, dirigir y controlar los programas y políticas necesarias para el desarrollo de las actividades del área a su cargo;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Proponer al titular de la Secretaría Ejecutiva la estructura y organización de sus áreas, conforme a las necesidades del servicio y los recursos presupuestales autorizados;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Atender oportunamente los requerimientos de información formulados por la Secretaría Ejecutiva;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Presentar ante la Secretaría Ejecutiva un informe de actividades por cada trimestre, dentro del mes siguiente a su conclusión, así como los avances programáticos del área a su cargo;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Integrar y proponer a la Secretaría Ejecutiva el anteproyecto  de presupuesto de egresos del área a su cargo;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Dirigir y supervisar las actividades del personal asignado a su cargo;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Proponer y promover programas de modernización, simplificación, así como medidas de mejoramiento de la organización y administración en el ámbito de su competencia;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Acordar con el titular de la Secretaría Ejecutiva los asuntos de su competencia;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Desempeñar las comisiones y  funciones que el titular de la Secretaría Ejecutiva le confiera, así como mantenerlo al tanto de su desarrollo y ejecución;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Proponer a la Secretaría Ejecutiva los anteproyectos de Reglamentos, Lineamientos y demás acuerdos necesarios para el correcto ejercicio de sus atribuciones y funciones, a fin de someterlos a consideración del Consejo General;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Documentar, compilar y actualizar la información generada por el área a su cargo, con el objeto de integrar los informes de actividades que rinda el titular de la Secretaría Ejecutiva al Consejo General;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lastRenderedPageBreak/>
        <w:t>Establecer vínculos de coordinación con los demás órganos ejecutivos, y técnicos del Instituto, para la ejecución de sus actividades;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Fungir como Secretarios Técnicos en las Comisiones Permanentes y Especiales, cuya función sea determinada por otras disposiciones normativas, y</w:t>
      </w:r>
    </w:p>
    <w:p w:rsidR="00872722" w:rsidRPr="00FB6FBC" w:rsidRDefault="00872722" w:rsidP="00872722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hAnsi="Humanst521 BT" w:cs="Arial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les confiera la Ley Electoral y otras disposiciones aplicables.</w:t>
      </w:r>
    </w:p>
    <w:p w:rsidR="00EF4515" w:rsidRDefault="00EF4515"/>
    <w:sectPr w:rsidR="00EF4515" w:rsidSect="00EF4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22" w:rsidRDefault="00872722" w:rsidP="00872722">
      <w:r>
        <w:separator/>
      </w:r>
    </w:p>
  </w:endnote>
  <w:endnote w:type="continuationSeparator" w:id="1">
    <w:p w:rsidR="00872722" w:rsidRDefault="00872722" w:rsidP="0087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22" w:rsidRDefault="00872722" w:rsidP="00872722">
      <w:r>
        <w:separator/>
      </w:r>
    </w:p>
  </w:footnote>
  <w:footnote w:type="continuationSeparator" w:id="1">
    <w:p w:rsidR="00872722" w:rsidRDefault="00872722" w:rsidP="0087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22" w:rsidRDefault="00872722" w:rsidP="00872722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872722" w:rsidRPr="00544B1E" w:rsidRDefault="00872722" w:rsidP="00872722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872722" w:rsidRDefault="008727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B17"/>
    <w:multiLevelType w:val="hybridMultilevel"/>
    <w:tmpl w:val="DA30E388"/>
    <w:lvl w:ilvl="0" w:tplc="765C20AC">
      <w:start w:val="1"/>
      <w:numFmt w:val="lowerLetter"/>
      <w:lvlText w:val="%1)"/>
      <w:lvlJc w:val="left"/>
      <w:pPr>
        <w:ind w:left="720" w:hanging="360"/>
      </w:pPr>
      <w:rPr>
        <w:rFonts w:ascii="Humanst521 BT" w:hAnsi="Humanst521 BT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63972"/>
    <w:multiLevelType w:val="hybridMultilevel"/>
    <w:tmpl w:val="2800DBF4"/>
    <w:lvl w:ilvl="0" w:tplc="B742EC9C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6" w:hanging="360"/>
      </w:pPr>
    </w:lvl>
    <w:lvl w:ilvl="2" w:tplc="080A001B" w:tentative="1">
      <w:start w:val="1"/>
      <w:numFmt w:val="lowerRoman"/>
      <w:lvlText w:val="%3."/>
      <w:lvlJc w:val="right"/>
      <w:pPr>
        <w:ind w:left="1916" w:hanging="180"/>
      </w:pPr>
    </w:lvl>
    <w:lvl w:ilvl="3" w:tplc="080A000F" w:tentative="1">
      <w:start w:val="1"/>
      <w:numFmt w:val="decimal"/>
      <w:lvlText w:val="%4."/>
      <w:lvlJc w:val="left"/>
      <w:pPr>
        <w:ind w:left="2636" w:hanging="360"/>
      </w:pPr>
    </w:lvl>
    <w:lvl w:ilvl="4" w:tplc="080A0019" w:tentative="1">
      <w:start w:val="1"/>
      <w:numFmt w:val="lowerLetter"/>
      <w:lvlText w:val="%5."/>
      <w:lvlJc w:val="left"/>
      <w:pPr>
        <w:ind w:left="3356" w:hanging="360"/>
      </w:pPr>
    </w:lvl>
    <w:lvl w:ilvl="5" w:tplc="080A001B" w:tentative="1">
      <w:start w:val="1"/>
      <w:numFmt w:val="lowerRoman"/>
      <w:lvlText w:val="%6."/>
      <w:lvlJc w:val="right"/>
      <w:pPr>
        <w:ind w:left="4076" w:hanging="180"/>
      </w:pPr>
    </w:lvl>
    <w:lvl w:ilvl="6" w:tplc="080A000F" w:tentative="1">
      <w:start w:val="1"/>
      <w:numFmt w:val="decimal"/>
      <w:lvlText w:val="%7."/>
      <w:lvlJc w:val="left"/>
      <w:pPr>
        <w:ind w:left="4796" w:hanging="360"/>
      </w:pPr>
    </w:lvl>
    <w:lvl w:ilvl="7" w:tplc="080A0019" w:tentative="1">
      <w:start w:val="1"/>
      <w:numFmt w:val="lowerLetter"/>
      <w:lvlText w:val="%8."/>
      <w:lvlJc w:val="left"/>
      <w:pPr>
        <w:ind w:left="5516" w:hanging="360"/>
      </w:pPr>
    </w:lvl>
    <w:lvl w:ilvl="8" w:tplc="08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722"/>
    <w:rsid w:val="00872722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7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27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722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8727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722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2017-11-24T16:53:00Z</dcterms:created>
  <dcterms:modified xsi:type="dcterms:W3CDTF">2017-11-24T16:53:00Z</dcterms:modified>
</cp:coreProperties>
</file>